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val="0"/>
        <w:keepLines w:val="0"/>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5"/>
      <w:bookmarkEnd w:id="0"/>
      <w:bookmarkStart w:id="1" w:name="_Hlt450066087"/>
      <w:bookmarkEnd w:id="1"/>
      <w:bookmarkStart w:id="2" w:name="_Hlt450039480"/>
      <w:bookmarkEnd w:id="2"/>
      <w:bookmarkStart w:id="3" w:name="_Hlt448930105"/>
      <w:bookmarkEnd w:id="3"/>
      <w:bookmarkStart w:id="4" w:name="_Hlt450051172"/>
      <w:bookmarkEnd w:id="4"/>
      <w:bookmarkStart w:id="5" w:name="_Hlt449016246"/>
      <w:bookmarkEnd w:id="5"/>
      <w:bookmarkStart w:id="6" w:name="OLE_LINK27"/>
      <w:bookmarkStart w:id="7" w:name="OLE_LINK111"/>
      <w:bookmarkStart w:id="8"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w:t>
      </w:r>
      <w:r>
        <w:rPr>
          <w:b/>
          <w:sz w:val="24"/>
        </w:rPr>
        <w:tab/>
      </w:r>
      <w:bookmarkStart w:id="13" w:name="_GoBack"/>
      <w:r>
        <w:rPr>
          <w:rFonts w:hint="eastAsia"/>
          <w:b/>
          <w:sz w:val="24"/>
        </w:rPr>
        <w:t>R4-25009</w:t>
      </w:r>
      <w:r>
        <w:rPr>
          <w:rFonts w:hint="eastAsia" w:eastAsia="宋体"/>
          <w:b/>
          <w:sz w:val="24"/>
          <w:lang w:val="en-US" w:eastAsia="zh-CN"/>
        </w:rPr>
        <w:t>40</w:t>
      </w:r>
    </w:p>
    <w:bookmarkEnd w:id="13"/>
    <w:p>
      <w:pPr>
        <w:pStyle w:val="73"/>
        <w:keepNext w:val="0"/>
        <w:keepLines w:val="0"/>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Athens</w:t>
      </w:r>
      <w:r>
        <w:rPr>
          <w:b/>
          <w:sz w:val="24"/>
          <w:lang w:eastAsia="zh-CN"/>
        </w:rPr>
        <w:t xml:space="preserve">, </w:t>
      </w:r>
      <w:r>
        <w:rPr>
          <w:rFonts w:hint="eastAsia"/>
          <w:b/>
          <w:sz w:val="24"/>
          <w:lang w:val="en-US" w:eastAsia="zh-CN"/>
        </w:rPr>
        <w:t>Grace</w:t>
      </w:r>
      <w:r>
        <w:rPr>
          <w:b/>
          <w:sz w:val="24"/>
          <w:lang w:eastAsia="zh-CN"/>
        </w:rPr>
        <w:t xml:space="preserve">, </w:t>
      </w:r>
      <w:r>
        <w:rPr>
          <w:rFonts w:hint="eastAsia"/>
          <w:b/>
          <w:sz w:val="24"/>
          <w:lang w:val="en-US" w:eastAsia="zh-CN"/>
        </w:rPr>
        <w:t xml:space="preserve">Feb.17th </w:t>
      </w:r>
      <w:r>
        <w:rPr>
          <w:b/>
          <w:sz w:val="24"/>
          <w:lang w:eastAsia="zh-CN"/>
        </w:rPr>
        <w:t xml:space="preserve">– </w:t>
      </w:r>
      <w:r>
        <w:rPr>
          <w:rFonts w:hint="eastAsia"/>
          <w:b/>
          <w:sz w:val="24"/>
          <w:lang w:val="en-US" w:eastAsia="zh-CN"/>
        </w:rPr>
        <w:t>21th</w:t>
      </w:r>
      <w:r>
        <w:rPr>
          <w:b/>
          <w:sz w:val="24"/>
          <w:lang w:eastAsia="zh-CN"/>
        </w:rPr>
        <w:t>, 202</w:t>
      </w:r>
      <w:r>
        <w:rPr>
          <w:rFonts w:hint="eastAsia"/>
          <w:b/>
          <w:sz w:val="24"/>
          <w:lang w:val="en-US" w:eastAsia="zh-CN"/>
        </w:rPr>
        <w:t>5</w:t>
      </w:r>
    </w:p>
    <w:bookmarkEnd w:id="6"/>
    <w:bookmarkEnd w:id="7"/>
    <w:bookmarkEnd w:id="8"/>
    <w:p>
      <w:pPr>
        <w:pStyle w:val="17"/>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val="0"/>
        <w:keepLines w:val="0"/>
        <w:pageBreakBefore w:val="0"/>
        <w:widowControl w:val="0"/>
        <w:tabs>
          <w:tab w:val="left" w:pos="1985"/>
        </w:tabs>
        <w:kinsoku/>
        <w:wordWrap/>
        <w:topLinePunct w:val="0"/>
        <w:bidi w:val="0"/>
        <w:snapToGrid/>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on low-low band CA via switching</w:t>
      </w:r>
    </w:p>
    <w:p>
      <w:pPr>
        <w:keepNext w:val="0"/>
        <w:keepLines w:val="0"/>
        <w:pageBreakBefore w:val="0"/>
        <w:widowControl w:val="0"/>
        <w:tabs>
          <w:tab w:val="left" w:pos="1985"/>
        </w:tabs>
        <w:kinsoku/>
        <w:wordWrap/>
        <w:topLinePunct w:val="0"/>
        <w:bidi w:val="0"/>
        <w:snapToGrid/>
        <w:spacing w:before="120" w:after="120"/>
        <w:outlineLvl w:val="0"/>
        <w:rPr>
          <w:rStyle w:val="60"/>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0"/>
          <w:rFonts w:hint="eastAsia"/>
          <w:b/>
          <w:highlight w:val="none"/>
        </w:rPr>
        <w:t>ZTE</w:t>
      </w:r>
      <w:r>
        <w:rPr>
          <w:rStyle w:val="60"/>
          <w:rFonts w:hint="eastAsia"/>
          <w:b/>
          <w:highlight w:val="none"/>
          <w:lang w:val="en-US" w:eastAsia="zh-CN"/>
        </w:rPr>
        <w:t xml:space="preserve"> Corporation, Sanechips</w:t>
      </w:r>
    </w:p>
    <w:p>
      <w:pPr>
        <w:keepNext w:val="0"/>
        <w:keepLines w:val="0"/>
        <w:pageBreakBefore w:val="0"/>
        <w:widowControl w:val="0"/>
        <w:tabs>
          <w:tab w:val="left" w:pos="1985"/>
        </w:tabs>
        <w:kinsoku/>
        <w:wordWrap/>
        <w:topLinePunct w:val="0"/>
        <w:bidi w:val="0"/>
        <w:snapToGrid/>
        <w:spacing w:before="120" w:after="120"/>
        <w:outlineLvl w:val="0"/>
        <w:rPr>
          <w:rStyle w:val="60"/>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7.8.2</w:t>
      </w:r>
    </w:p>
    <w:p>
      <w:pPr>
        <w:keepNext w:val="0"/>
        <w:keepLines w:val="0"/>
        <w:pageBreakBefore w:val="0"/>
        <w:widowControl w:val="0"/>
        <w:tabs>
          <w:tab w:val="left" w:pos="1985"/>
        </w:tabs>
        <w:kinsoku/>
        <w:wordWrap/>
        <w:topLinePunct w:val="0"/>
        <w:bidi w:val="0"/>
        <w:snapToGrid/>
        <w:spacing w:before="120" w:after="120"/>
        <w:ind w:left="1980" w:hanging="1980"/>
        <w:outlineLvl w:val="0"/>
        <w:rPr>
          <w:rStyle w:val="60"/>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#106 meeting, a new WID was approved to introduce a called switching method to enable low-low band CA due to there exists some challenges to implement the low-low band CA band combiantion due to poor antenna implementation when sharing one common antenna, or cost/size issue when separated antennas are used.</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The objectives are shown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bCs/>
                <w:kern w:val="0"/>
                <w:sz w:val="20"/>
                <w:lang w:val="en-GB" w:eastAsia="en-GB"/>
              </w:rPr>
            </w:pPr>
            <w:r>
              <w:rPr>
                <w:rFonts w:ascii="Times New Roman" w:hAnsi="Times New Roman" w:eastAsia="等线" w:cs="Times New Roman"/>
                <w:bCs/>
                <w:kern w:val="0"/>
                <w:sz w:val="20"/>
                <w:lang w:val="en-GB" w:eastAsia="en-GB"/>
              </w:rPr>
              <w:t>Introduce physical layer procedures and requirements to enable low band carrier aggregation via switching according to the following objectives:</w:t>
            </w:r>
          </w:p>
          <w:p>
            <w:pPr>
              <w:overflowPunct w:val="0"/>
              <w:autoSpaceDE w:val="0"/>
              <w:autoSpaceDN w:val="0"/>
              <w:adjustRightInd w:val="0"/>
              <w:spacing w:after="180"/>
              <w:ind w:left="568" w:hanging="284"/>
              <w:textAlignment w:val="baseline"/>
              <w:rPr>
                <w:rFonts w:ascii="Times New Roman" w:hAnsi="Times New Roman" w:eastAsia="等线" w:cs="Times New Roman"/>
                <w:lang w:val="en-US" w:eastAsia="en-GB" w:bidi="ar-SA"/>
              </w:rPr>
            </w:pPr>
            <w:r>
              <w:rPr>
                <w:rFonts w:ascii="Times New Roman" w:hAnsi="Times New Roman" w:eastAsia="等线" w:cs="Times New Roman"/>
                <w:bCs/>
                <w:lang w:val="en-GB" w:eastAsia="en-GB" w:bidi="ar-SA"/>
              </w:rPr>
              <w:t>-</w:t>
            </w:r>
            <w:r>
              <w:rPr>
                <w:rFonts w:ascii="Times New Roman" w:hAnsi="Times New Roman" w:eastAsia="等线" w:cs="Times New Roman"/>
                <w:bCs/>
                <w:lang w:val="en-GB" w:eastAsia="en-GB" w:bidi="ar-SA"/>
              </w:rPr>
              <w:tab/>
            </w:r>
            <w:r>
              <w:rPr>
                <w:rFonts w:ascii="Times New Roman" w:hAnsi="Times New Roman" w:eastAsia="等线" w:cs="Times New Roman"/>
                <w:lang w:val="en-GB" w:eastAsia="en-GB" w:bidi="ar-SA"/>
              </w:rPr>
              <w:t>Specify UE requirements, including at least switching gap (if needed), and corresponding physical layer procedures to allow switching between {case 1, case 2} [RAN4, RAN1]</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Case 1: Tx/Rx on FDD carrier 1 and no Rx on SDL carrier 2</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Case 2: Rx on SDL carrier 2 and no Tx/Rx on FDD carrier 1</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RAN1 to specify only a semi-static switching pattern based on RRC configuration, liaising with RAN2 and RAN4 as necessary</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Specify the switching delay and time mask for carrier switching [RAN4]</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Specify necessary RRM requirements [RAN4]</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Define the corresponding UE capabilities [RAN4, RAN2, RAN1]</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Consider the following deployment constraints:</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carrier frequency for all cases is &lt;1 GHz</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Co-located and synchronized network deployment for both carriers</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Both carriers are in a single TAG</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SCS 15KHz on both carriers</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Note 1: Specify requirements for the feature with the following example band combination: CA_n5A-n29A in this WI, with additional band combinations to be handled via the basket work item approach</w:t>
            </w:r>
          </w:p>
          <w:p>
            <w:pPr>
              <w:overflowPunct w:val="0"/>
              <w:autoSpaceDE w:val="0"/>
              <w:autoSpaceDN w:val="0"/>
              <w:adjustRightInd w:val="0"/>
              <w:spacing w:after="180"/>
              <w:ind w:left="568" w:hanging="284"/>
              <w:textAlignment w:val="baseline"/>
              <w:rPr>
                <w:rFonts w:hint="default" w:cs="Times New Roman"/>
                <w:sz w:val="20"/>
                <w:szCs w:val="20"/>
                <w:vertAlign w:val="baseline"/>
                <w:lang w:val="en-US" w:eastAsia="zh-CN"/>
              </w:rPr>
            </w:pPr>
            <w:r>
              <w:rPr>
                <w:rFonts w:ascii="Times New Roman" w:hAnsi="Times New Roman" w:eastAsia="等线" w:cs="Times New Roman"/>
                <w:lang w:val="en-GB" w:eastAsia="en-GB" w:bidi="ar-SA"/>
              </w:rPr>
              <w:t>Note 2: Strive to minimize the RAN1 impact</w:t>
            </w:r>
          </w:p>
        </w:tc>
      </w:tr>
    </w:tbl>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9" w:name="OLE_LINK18"/>
      <w:r>
        <w:rPr>
          <w:rFonts w:hint="eastAsia" w:eastAsia="宋体" w:cs="Times New Roman"/>
          <w:sz w:val="20"/>
          <w:szCs w:val="20"/>
          <w:lang w:val="en-US" w:eastAsia="zh-CN"/>
        </w:rPr>
        <w:t xml:space="preserve">we </w:t>
      </w:r>
      <w:r>
        <w:rPr>
          <w:rFonts w:hint="eastAsia" w:cs="Times New Roman"/>
          <w:sz w:val="20"/>
          <w:szCs w:val="20"/>
          <w:lang w:val="en-US" w:eastAsia="zh-CN"/>
        </w:rPr>
        <w:t xml:space="preserve">gives some initial </w:t>
      </w:r>
      <w:r>
        <w:rPr>
          <w:rFonts w:hint="eastAsia" w:eastAsia="宋体" w:cs="Times New Roman"/>
          <w:sz w:val="20"/>
          <w:szCs w:val="20"/>
          <w:lang w:val="en-US" w:eastAsia="zh-CN"/>
        </w:rPr>
        <w:t>discussion</w:t>
      </w:r>
      <w:r>
        <w:rPr>
          <w:rFonts w:hint="eastAsia" w:cs="Times New Roman"/>
          <w:sz w:val="20"/>
          <w:szCs w:val="20"/>
          <w:lang w:val="en-US" w:eastAsia="zh-CN"/>
        </w:rPr>
        <w:t>s</w:t>
      </w:r>
      <w:r>
        <w:rPr>
          <w:rFonts w:hint="eastAsia" w:eastAsia="宋体" w:cs="Times New Roman"/>
          <w:sz w:val="20"/>
          <w:szCs w:val="20"/>
          <w:lang w:val="en-US" w:eastAsia="zh-CN"/>
        </w:rPr>
        <w:t xml:space="preserve"> on</w:t>
      </w:r>
      <w:r>
        <w:rPr>
          <w:rFonts w:hint="eastAsia" w:cs="Times New Roman"/>
          <w:sz w:val="20"/>
          <w:szCs w:val="20"/>
          <w:lang w:val="en-US" w:eastAsia="zh-CN"/>
        </w:rPr>
        <w:t xml:space="preserve"> low-low band CA via switching (i.e. downlink carrier switching) </w:t>
      </w:r>
      <w:r>
        <w:rPr>
          <w:rFonts w:hint="eastAsia" w:eastAsia="宋体" w:cs="Times New Roman"/>
          <w:sz w:val="20"/>
          <w:szCs w:val="20"/>
          <w:lang w:val="en-US" w:eastAsia="zh-CN"/>
        </w:rPr>
        <w:t>.</w:t>
      </w:r>
      <w:bookmarkEnd w:id="9"/>
      <w:r>
        <w:rPr>
          <w:rFonts w:hint="eastAsia" w:eastAsia="宋体" w:cs="Times New Roman"/>
          <w:sz w:val="20"/>
          <w:szCs w:val="20"/>
          <w:lang w:val="en-US" w:eastAsia="zh-CN"/>
        </w:rPr>
        <w:t xml:space="preserve"> </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bookmarkStart w:id="10" w:name="OLE_LINK66"/>
      <w:bookmarkStart w:id="11" w:name="OLE_LINK23"/>
      <w:r>
        <w:rPr>
          <w:rFonts w:hint="eastAsia"/>
          <w:sz w:val="20"/>
          <w:szCs w:val="20"/>
          <w:lang w:val="en-US" w:eastAsia="zh-CN"/>
        </w:rPr>
        <w:t>In terms of the objectives, the only switching cases are:</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ind w:left="851" w:hanging="284"/>
        <w:textAlignment w:val="baseline"/>
        <w:rPr>
          <w:rFonts w:ascii="Times New Roman" w:hAnsi="Times New Roman" w:eastAsia="等线" w:cs="Times New Roman"/>
          <w:sz w:val="20"/>
          <w:szCs w:val="20"/>
          <w:lang w:val="en-GB" w:eastAsia="en-GB" w:bidi="ar-SA"/>
        </w:rPr>
      </w:pPr>
      <w:r>
        <w:rPr>
          <w:rFonts w:ascii="Times New Roman" w:hAnsi="Times New Roman" w:eastAsia="等线" w:cs="Times New Roman"/>
          <w:sz w:val="20"/>
          <w:szCs w:val="20"/>
          <w:lang w:val="en-GB" w:eastAsia="en-GB" w:bidi="ar-SA"/>
        </w:rPr>
        <w:t>-</w:t>
      </w:r>
      <w:r>
        <w:rPr>
          <w:rFonts w:ascii="Times New Roman" w:hAnsi="Times New Roman" w:eastAsia="等线" w:cs="Times New Roman"/>
          <w:sz w:val="20"/>
          <w:szCs w:val="20"/>
          <w:lang w:val="en-GB" w:eastAsia="en-GB" w:bidi="ar-SA"/>
        </w:rPr>
        <w:tab/>
      </w:r>
      <w:r>
        <w:rPr>
          <w:rFonts w:ascii="Times New Roman" w:hAnsi="Times New Roman" w:eastAsia="等线" w:cs="Times New Roman"/>
          <w:sz w:val="20"/>
          <w:szCs w:val="20"/>
          <w:lang w:val="en-GB" w:eastAsia="en-GB" w:bidi="ar-SA"/>
        </w:rPr>
        <w:t>Case 1: Tx/Rx on FDD carrier 1 and no Rx on SDL carrier 2</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ind w:left="851" w:hanging="284"/>
        <w:textAlignment w:val="baseline"/>
        <w:rPr>
          <w:rFonts w:ascii="Times New Roman" w:hAnsi="Times New Roman" w:eastAsia="等线" w:cs="Times New Roman"/>
          <w:sz w:val="20"/>
          <w:szCs w:val="20"/>
          <w:lang w:val="en-GB" w:eastAsia="en-GB" w:bidi="ar-SA"/>
        </w:rPr>
      </w:pPr>
      <w:r>
        <w:rPr>
          <w:rFonts w:ascii="Times New Roman" w:hAnsi="Times New Roman" w:eastAsia="等线" w:cs="Times New Roman"/>
          <w:sz w:val="20"/>
          <w:szCs w:val="20"/>
          <w:lang w:val="en-GB" w:eastAsia="en-GB" w:bidi="ar-SA"/>
        </w:rPr>
        <w:t>-</w:t>
      </w:r>
      <w:r>
        <w:rPr>
          <w:rFonts w:ascii="Times New Roman" w:hAnsi="Times New Roman" w:eastAsia="等线" w:cs="Times New Roman"/>
          <w:sz w:val="20"/>
          <w:szCs w:val="20"/>
          <w:lang w:val="en-GB" w:eastAsia="en-GB" w:bidi="ar-SA"/>
        </w:rPr>
        <w:tab/>
      </w:r>
      <w:r>
        <w:rPr>
          <w:rFonts w:ascii="Times New Roman" w:hAnsi="Times New Roman" w:eastAsia="等线" w:cs="Times New Roman"/>
          <w:sz w:val="20"/>
          <w:szCs w:val="20"/>
          <w:lang w:val="en-GB" w:eastAsia="en-GB" w:bidi="ar-SA"/>
        </w:rPr>
        <w:t>Case 2: Rx on SDL carrier 2 and no Tx/Rx on FDD carrier 1</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sz w:val="20"/>
          <w:szCs w:val="20"/>
          <w:lang w:val="en-US" w:eastAsia="zh-CN" w:bidi="ar-SA"/>
        </w:rPr>
      </w:pPr>
      <w:r>
        <w:rPr>
          <w:rFonts w:hint="eastAsia"/>
          <w:sz w:val="20"/>
          <w:szCs w:val="20"/>
          <w:lang w:val="en-US" w:eastAsia="zh-CN"/>
        </w:rPr>
        <w:t xml:space="preserve">It means only the FDD-SDL low-low band inter-band CA scenario, which is </w:t>
      </w:r>
      <w:r>
        <w:rPr>
          <w:rFonts w:ascii="Times New Roman" w:hAnsi="Times New Roman" w:eastAsia="等线" w:cs="Times New Roman"/>
          <w:sz w:val="20"/>
          <w:szCs w:val="20"/>
          <w:lang w:val="en-GB" w:eastAsia="en-GB" w:bidi="ar-SA"/>
        </w:rPr>
        <w:t>CA_n5A-n29A</w:t>
      </w:r>
      <w:r>
        <w:rPr>
          <w:rFonts w:hint="eastAsia" w:eastAsia="等线" w:cs="Times New Roman"/>
          <w:sz w:val="20"/>
          <w:szCs w:val="20"/>
          <w:lang w:val="en-US" w:eastAsia="zh-CN" w:bidi="ar-SA"/>
        </w:rPr>
        <w:t>, is considered in the current WID, the other band combinations will be handled via the basket WID approach.</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sz w:val="20"/>
          <w:szCs w:val="20"/>
          <w:lang w:val="en-US" w:eastAsia="zh-CN" w:bidi="ar-SA"/>
        </w:rPr>
      </w:pPr>
      <w:r>
        <w:rPr>
          <w:rFonts w:hint="eastAsia" w:eastAsia="等线" w:cs="Times New Roman"/>
          <w:sz w:val="20"/>
          <w:szCs w:val="20"/>
          <w:lang w:val="en-US" w:eastAsia="zh-CN" w:bidi="ar-SA"/>
        </w:rPr>
        <w:t>The illustration for the above switching cases can be found in the motivation paper, which is extracted in the following:</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auto"/>
        <w:rPr>
          <w:sz w:val="20"/>
        </w:rPr>
      </w:pPr>
      <w:r>
        <w:rPr>
          <w:sz w:val="20"/>
        </w:rPr>
        <w:drawing>
          <wp:inline distT="0" distB="0" distL="114300" distR="114300">
            <wp:extent cx="5219700" cy="1676400"/>
            <wp:effectExtent l="0" t="0" r="762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5219700" cy="1676400"/>
                    </a:xfrm>
                    <a:prstGeom prst="rect">
                      <a:avLst/>
                    </a:prstGeom>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auto"/>
        <w:rPr>
          <w:rFonts w:hint="default" w:eastAsia="宋体"/>
          <w:sz w:val="20"/>
          <w:lang w:val="en-US" w:eastAsia="zh-CN"/>
        </w:rPr>
      </w:pPr>
      <w:r>
        <w:rPr>
          <w:rFonts w:hint="eastAsia"/>
          <w:sz w:val="20"/>
          <w:lang w:val="en-US" w:eastAsia="zh-CN"/>
        </w:rPr>
        <w:t>Fig 1.I</w:t>
      </w:r>
      <w:r>
        <w:rPr>
          <w:rFonts w:hint="eastAsia" w:eastAsia="等线" w:cs="Times New Roman"/>
          <w:sz w:val="20"/>
          <w:szCs w:val="20"/>
          <w:lang w:val="en-US" w:eastAsia="zh-CN" w:bidi="ar-SA"/>
        </w:rPr>
        <w:t>llustration for the switching cases between FDD and SDL band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sz w:val="20"/>
          <w:szCs w:val="20"/>
          <w:lang w:val="en-US" w:eastAsia="zh-CN" w:bidi="ar-SA"/>
        </w:rPr>
      </w:pPr>
      <w:r>
        <w:rPr>
          <w:rFonts w:hint="eastAsia" w:eastAsia="等线" w:cs="Times New Roman"/>
          <w:sz w:val="20"/>
          <w:szCs w:val="20"/>
          <w:lang w:val="en-US" w:eastAsia="zh-CN" w:bidi="ar-SA"/>
        </w:rPr>
        <w:t xml:space="preserve">In general, considering there are only four meeting left in Rel-19 timeline, we think it may not appropriate and nearly impossible to discuss and introduce complicated carrier switching approach in such short time. Instead, the Tx switching method can be used as much as possible.For switching period, there are three candidate values, i.e.: 35us, 140us, and 210us, defined for Tx switching and the values have been discussed for a long time in Rel-16, which depends on implementation of how many RF components are switched. Considering different implementations for </w:t>
      </w:r>
      <w:r>
        <w:rPr>
          <w:rFonts w:hint="eastAsia" w:cs="Times New Roman"/>
          <w:sz w:val="20"/>
          <w:szCs w:val="20"/>
          <w:lang w:val="en-US" w:eastAsia="zh-CN"/>
        </w:rPr>
        <w:t>downlink carrier switching</w:t>
      </w:r>
      <w:r>
        <w:rPr>
          <w:rFonts w:hint="eastAsia" w:eastAsia="等线" w:cs="Times New Roman"/>
          <w:sz w:val="20"/>
          <w:szCs w:val="20"/>
          <w:lang w:val="en-US" w:eastAsia="zh-CN" w:bidi="ar-SA"/>
        </w:rPr>
        <w:t>, some of the RF components such as filter, LNA and PLL, could be shared or separated, which is similar with Tx switching.</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sz w:val="20"/>
          <w:szCs w:val="20"/>
          <w:lang w:val="en-US" w:eastAsia="zh-CN" w:bidi="ar-SA"/>
        </w:rPr>
      </w:pPr>
      <w:r>
        <w:rPr>
          <w:rFonts w:hint="eastAsia" w:eastAsia="等线" w:cs="Times New Roman"/>
          <w:sz w:val="20"/>
          <w:szCs w:val="20"/>
          <w:lang w:val="en-US" w:eastAsia="zh-CN" w:bidi="ar-SA"/>
        </w:rPr>
        <w:t xml:space="preserve">For low-low band CA band combination, the implementations of shared antenna and separated antennas are mentioned in TR38.872[2]. In our understanding, the purpose of this WID is to generate the carrier switching method in the case of the shared antenna for the switched-from and switched-to carriers. In other words, there is no need to consider the downlink carrier switching for separated antennas implementations since the Rx chain/antennas are totally separated for the two bands low-low CA, or the carrier switching period for separated antennas implementations is nearly 0us. </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b/>
          <w:bCs/>
          <w:sz w:val="20"/>
          <w:szCs w:val="20"/>
          <w:lang w:val="en-US" w:eastAsia="zh-CN" w:bidi="ar-SA"/>
        </w:rPr>
      </w:pPr>
      <w:r>
        <w:rPr>
          <w:rFonts w:hint="eastAsia" w:eastAsia="等线" w:cs="Times New Roman"/>
          <w:b/>
          <w:bCs/>
          <w:sz w:val="20"/>
          <w:szCs w:val="20"/>
          <w:lang w:val="en-US" w:eastAsia="zh-CN" w:bidi="ar-SA"/>
        </w:rPr>
        <w:t>Observation 1.There is no need to consider the downlink carrier switching for separated antennas implementations for low-low CA band combination.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sz w:val="20"/>
          <w:szCs w:val="20"/>
          <w:lang w:val="en-US" w:eastAsia="zh-CN" w:bidi="ar-SA"/>
        </w:rPr>
      </w:pPr>
      <w:r>
        <w:rPr>
          <w:rFonts w:hint="eastAsia" w:eastAsia="等线" w:cs="Times New Roman"/>
          <w:sz w:val="20"/>
          <w:szCs w:val="20"/>
          <w:lang w:val="en-US" w:eastAsia="zh-CN" w:bidi="ar-SA"/>
        </w:rPr>
        <w:t>This is also true for Tx switching but ~0us switching period is not defined. It could be interpreted that the Tx switching is not needed for separated antennas implementation. In this case, UE needs to report the capability to indicate whether UE support UL switching, the related capabilities are extracted from TS38.306 and shown below:</w:t>
      </w:r>
    </w:p>
    <w:tbl>
      <w:tblPr>
        <w:tblStyle w:val="23"/>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58"/>
              <w:rPr>
                <w:rFonts w:hint="default" w:ascii="Times New Roman" w:hAnsi="Times New Roman" w:cs="Times New Roman"/>
                <w:b/>
                <w:bCs/>
                <w:i/>
                <w:iCs/>
                <w:sz w:val="20"/>
                <w:szCs w:val="20"/>
              </w:rPr>
            </w:pPr>
            <w:r>
              <w:rPr>
                <w:rFonts w:hint="default" w:ascii="Times New Roman" w:hAnsi="Times New Roman" w:cs="Times New Roman"/>
                <w:b/>
                <w:bCs/>
                <w:i/>
                <w:iCs/>
                <w:sz w:val="20"/>
                <w:szCs w:val="20"/>
              </w:rPr>
              <w:t xml:space="preserve">ULTxSwitchingBandPair-r16, </w:t>
            </w:r>
            <w:r>
              <w:rPr>
                <w:rFonts w:hint="default" w:ascii="Times New Roman" w:hAnsi="Times New Roman" w:cs="Times New Roman"/>
                <w:b/>
                <w:bCs/>
                <w:i/>
                <w:iCs/>
                <w:sz w:val="20"/>
                <w:szCs w:val="20"/>
                <w:lang w:eastAsia="fr-FR"/>
              </w:rPr>
              <w:t>ULTxSwitchingBandPair-v1700</w:t>
            </w:r>
          </w:p>
          <w:p>
            <w:pPr>
              <w:pStyle w:val="58"/>
              <w:rPr>
                <w:rFonts w:hint="default" w:ascii="Times New Roman" w:hAnsi="Times New Roman" w:cs="Times New Roman"/>
                <w:sz w:val="20"/>
                <w:szCs w:val="20"/>
              </w:rPr>
            </w:pPr>
            <w:r>
              <w:rPr>
                <w:rFonts w:hint="default" w:ascii="Times New Roman" w:hAnsi="Times New Roman" w:cs="Times New Roman"/>
                <w:sz w:val="20"/>
                <w:szCs w:val="20"/>
              </w:rPr>
              <w:t xml:space="preserve">Indicates UE supports dynamic UL 1Tx-2Tx switching in case of inter-band CA, SUL, and </w:t>
            </w:r>
            <w:r>
              <w:rPr>
                <w:rFonts w:hint="default" w:ascii="Times New Roman" w:hAnsi="Times New Roman" w:cs="Times New Roman"/>
                <w:sz w:val="20"/>
                <w:szCs w:val="20"/>
                <w:lang w:eastAsia="en-GB"/>
              </w:rPr>
              <w:t>(NG)</w:t>
            </w:r>
            <w:r>
              <w:rPr>
                <w:rFonts w:hint="default" w:ascii="Times New Roman" w:hAnsi="Times New Roman" w:cs="Times New Roman"/>
                <w:sz w:val="20"/>
                <w:szCs w:val="20"/>
              </w:rPr>
              <w:t>EN-DC</w:t>
            </w:r>
            <w:r>
              <w:rPr>
                <w:rFonts w:hint="default" w:ascii="Times New Roman" w:hAnsi="Times New Roman" w:cs="Times New Roman"/>
                <w:sz w:val="20"/>
                <w:szCs w:val="20"/>
                <w:lang w:eastAsia="zh-CN"/>
              </w:rPr>
              <w:t>, and UL 2Tx-2Tx switching in case of inter-band CA and SUL</w:t>
            </w:r>
            <w:r>
              <w:rPr>
                <w:rFonts w:hint="default" w:ascii="Times New Roman" w:hAnsi="Times New Roman" w:cs="Times New Roman"/>
                <w:sz w:val="20"/>
                <w:szCs w:val="20"/>
              </w:rPr>
              <w:t xml:space="preserve"> as defined in TS 38.214 [12], TS 38.101-1 [2] and </w:t>
            </w:r>
            <w:r>
              <w:rPr>
                <w:rFonts w:hint="default" w:ascii="Times New Roman" w:hAnsi="Times New Roman" w:cs="Times New Roman"/>
                <w:sz w:val="20"/>
                <w:szCs w:val="20"/>
                <w:lang w:eastAsia="en-GB"/>
              </w:rPr>
              <w:t>TS 38.101-3 [4]</w:t>
            </w:r>
            <w:r>
              <w:rPr>
                <w:rFonts w:hint="default" w:ascii="Times New Roman" w:hAnsi="Times New Roman" w:cs="Times New Roman"/>
                <w:sz w:val="20"/>
                <w:szCs w:val="20"/>
              </w:rPr>
              <w:t>. The capability signalling comprises of the following parameters:</w:t>
            </w:r>
          </w:p>
          <w:p>
            <w:pPr>
              <w:pStyle w:val="58"/>
              <w:ind w:left="360" w:hanging="400" w:hangingChars="20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i/>
                <w:sz w:val="20"/>
                <w:szCs w:val="20"/>
              </w:rPr>
              <w:t>bandIndexUL1-r16</w:t>
            </w:r>
            <w:r>
              <w:rPr>
                <w:rFonts w:hint="default" w:ascii="Times New Roman" w:hAnsi="Times New Roman" w:cs="Times New Roman"/>
                <w:sz w:val="20"/>
                <w:szCs w:val="20"/>
              </w:rPr>
              <w:t xml:space="preserve"> and </w:t>
            </w:r>
            <w:r>
              <w:rPr>
                <w:rFonts w:hint="default" w:ascii="Times New Roman" w:hAnsi="Times New Roman" w:cs="Times New Roman"/>
                <w:i/>
                <w:sz w:val="20"/>
                <w:szCs w:val="20"/>
              </w:rPr>
              <w:t>bandIndexUL2-r16</w:t>
            </w:r>
            <w:r>
              <w:rPr>
                <w:rFonts w:hint="default" w:ascii="Times New Roman" w:hAnsi="Times New Roman" w:cs="Times New Roman"/>
                <w:sz w:val="20"/>
                <w:szCs w:val="20"/>
              </w:rPr>
              <w:t xml:space="preserve"> indicate the band pair on which UE supports dynamic UL Tx switching. </w:t>
            </w:r>
            <w:r>
              <w:rPr>
                <w:rFonts w:hint="default" w:ascii="Times New Roman" w:hAnsi="Times New Roman" w:cs="Times New Roman"/>
                <w:i/>
                <w:sz w:val="20"/>
                <w:szCs w:val="20"/>
              </w:rPr>
              <w:t>bandindexUL1</w:t>
            </w:r>
            <w:r>
              <w:rPr>
                <w:rFonts w:hint="default" w:ascii="Times New Roman" w:hAnsi="Times New Roman" w:cs="Times New Roman"/>
                <w:sz w:val="20"/>
                <w:szCs w:val="20"/>
              </w:rPr>
              <w:t>/</w:t>
            </w:r>
            <w:r>
              <w:rPr>
                <w:rFonts w:hint="default" w:ascii="Times New Roman" w:hAnsi="Times New Roman" w:cs="Times New Roman"/>
                <w:i/>
                <w:sz w:val="20"/>
                <w:szCs w:val="20"/>
              </w:rPr>
              <w:t>bandindexUL2</w:t>
            </w:r>
            <w:r>
              <w:rPr>
                <w:rFonts w:hint="default" w:ascii="Times New Roman" w:hAnsi="Times New Roman" w:cs="Times New Roman"/>
                <w:sz w:val="20"/>
                <w:szCs w:val="20"/>
              </w:rPr>
              <w:t xml:space="preserve"> xx refers to the xxth band entry in the band combination. UE shall indicate support for 2-layer UL MIMO capabilities on one of the indicated two bands in each FeatureSet entry supporting UL 1Tx-2Tx switching</w:t>
            </w:r>
            <w:r>
              <w:rPr>
                <w:rFonts w:hint="default" w:ascii="Times New Roman" w:hAnsi="Times New Roman" w:cs="Times New Roman"/>
                <w:sz w:val="20"/>
                <w:szCs w:val="20"/>
                <w:lang w:eastAsia="zh-CN"/>
              </w:rPr>
              <w:t xml:space="preserve"> and indicate support for 2-layer UL MIMO capabilities on both bands</w:t>
            </w:r>
            <w:r>
              <w:rPr>
                <w:rFonts w:hint="default" w:ascii="Times New Roman" w:hAnsi="Times New Roman" w:cs="Times New Roman"/>
                <w:sz w:val="20"/>
                <w:szCs w:val="20"/>
                <w:lang w:eastAsia="fr-FR"/>
              </w:rPr>
              <w:t xml:space="preserve"> in each FeatureSet entry supporting UL 2T-2Tx switching</w:t>
            </w:r>
            <w:r>
              <w:rPr>
                <w:rFonts w:hint="default" w:ascii="Times New Roman" w:hAnsi="Times New Roman" w:cs="Times New Roman"/>
                <w:sz w:val="20"/>
                <w:szCs w:val="20"/>
              </w:rPr>
              <w:t>, and only the band where UE supports 2-layer UL MIMO capability can work as carrier2 as defined in TS 38.101-1 [2] and TS 38.101-3 [4].</w:t>
            </w:r>
          </w:p>
          <w:p>
            <w:pPr>
              <w:pStyle w:val="58"/>
              <w:ind w:left="360" w:hanging="400" w:hangingChars="20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i/>
                <w:sz w:val="20"/>
                <w:szCs w:val="20"/>
              </w:rPr>
              <w:t>uplinkTxSwitchingPeriod-r16</w:t>
            </w:r>
            <w:r>
              <w:rPr>
                <w:rFonts w:hint="default" w:ascii="Times New Roman" w:hAnsi="Times New Roman" w:cs="Times New Roman"/>
                <w:sz w:val="20"/>
                <w:szCs w:val="20"/>
              </w:rPr>
              <w:t xml:space="preserve"> indicates the length of UL Tx switching period </w:t>
            </w:r>
            <w:r>
              <w:rPr>
                <w:rFonts w:hint="default" w:ascii="Times New Roman" w:hAnsi="Times New Roman" w:cs="Times New Roman"/>
                <w:sz w:val="20"/>
                <w:szCs w:val="20"/>
                <w:lang w:eastAsia="fr-FR"/>
              </w:rPr>
              <w:t xml:space="preserve">of 1Tx-2Tx switching </w:t>
            </w:r>
            <w:r>
              <w:rPr>
                <w:rFonts w:hint="default" w:ascii="Times New Roman" w:hAnsi="Times New Roman" w:cs="Times New Roman"/>
                <w:sz w:val="20"/>
                <w:szCs w:val="20"/>
              </w:rPr>
              <w:t>per pair of UL bands per band combination when dynamic UL Tx switching is configured, as specified in TS 38.101-1 [2] and TS 38.101-3 [4]. UE shall not report the value n210us for EN-DC band combinations. n35us represents 35 µs, n140us represents 140µs, and so on, as specified in TS 38.101-1 [2] and TS 38.101-3 [4].</w:t>
            </w:r>
          </w:p>
          <w:p>
            <w:pPr>
              <w:pStyle w:val="51"/>
              <w:spacing w:after="0"/>
              <w:ind w:left="0" w:leftChars="0" w:firstLine="0" w:firstLineChars="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w:t>
            </w:r>
          </w:p>
        </w:tc>
        <w:tc>
          <w:tcPr>
            <w:tcW w:w="709" w:type="dxa"/>
          </w:tcPr>
          <w:p>
            <w:pPr>
              <w:pStyle w:val="58"/>
              <w:jc w:val="center"/>
              <w:rPr>
                <w:rFonts w:hint="default" w:ascii="Times New Roman" w:hAnsi="Times New Roman" w:cs="Times New Roman"/>
                <w:bCs/>
                <w:iCs/>
                <w:sz w:val="20"/>
                <w:szCs w:val="20"/>
              </w:rPr>
            </w:pPr>
            <w:r>
              <w:rPr>
                <w:rFonts w:hint="default" w:ascii="Times New Roman" w:hAnsi="Times New Roman" w:cs="Times New Roman"/>
                <w:bCs/>
                <w:iCs/>
                <w:sz w:val="20"/>
                <w:szCs w:val="20"/>
                <w:lang w:eastAsia="zh-CN"/>
              </w:rPr>
              <w:t>BC</w:t>
            </w:r>
          </w:p>
        </w:tc>
        <w:tc>
          <w:tcPr>
            <w:tcW w:w="567" w:type="dxa"/>
          </w:tcPr>
          <w:p>
            <w:pPr>
              <w:pStyle w:val="58"/>
              <w:jc w:val="center"/>
              <w:rPr>
                <w:rFonts w:hint="default" w:ascii="Times New Roman" w:hAnsi="Times New Roman" w:cs="Times New Roman"/>
                <w:bCs/>
                <w:iCs/>
                <w:sz w:val="20"/>
                <w:szCs w:val="20"/>
              </w:rPr>
            </w:pPr>
            <w:r>
              <w:rPr>
                <w:rFonts w:hint="default" w:ascii="Times New Roman" w:hAnsi="Times New Roman" w:cs="Times New Roman"/>
                <w:bCs/>
                <w:iCs/>
                <w:sz w:val="20"/>
                <w:szCs w:val="20"/>
                <w:lang w:eastAsia="zh-CN"/>
              </w:rPr>
              <w:t>FD</w:t>
            </w:r>
          </w:p>
        </w:tc>
        <w:tc>
          <w:tcPr>
            <w:tcW w:w="709" w:type="dxa"/>
          </w:tcPr>
          <w:p>
            <w:pPr>
              <w:pStyle w:val="58"/>
              <w:jc w:val="center"/>
              <w:rPr>
                <w:rFonts w:hint="default" w:ascii="Times New Roman" w:hAnsi="Times New Roman" w:cs="Times New Roman"/>
                <w:bCs/>
                <w:iCs/>
                <w:sz w:val="20"/>
                <w:szCs w:val="20"/>
              </w:rPr>
            </w:pPr>
            <w:r>
              <w:rPr>
                <w:rFonts w:hint="default" w:ascii="Times New Roman" w:hAnsi="Times New Roman" w:eastAsia="等线" w:cs="Times New Roman"/>
                <w:sz w:val="20"/>
                <w:szCs w:val="20"/>
              </w:rPr>
              <w:t>N/A</w:t>
            </w:r>
          </w:p>
        </w:tc>
        <w:tc>
          <w:tcPr>
            <w:tcW w:w="728" w:type="dxa"/>
          </w:tcPr>
          <w:p>
            <w:pPr>
              <w:pStyle w:val="58"/>
              <w:jc w:val="center"/>
              <w:rPr>
                <w:rFonts w:hint="default" w:ascii="Times New Roman" w:hAnsi="Times New Roman" w:cs="Times New Roman"/>
                <w:sz w:val="20"/>
                <w:szCs w:val="20"/>
              </w:rPr>
            </w:pPr>
            <w:r>
              <w:rPr>
                <w:rFonts w:hint="default" w:ascii="Times New Roman" w:hAnsi="Times New Roman" w:cs="Times New Roman"/>
                <w:sz w:val="20"/>
                <w:szCs w:val="20"/>
                <w:lang w:eastAsia="zh-CN"/>
              </w:rPr>
              <w:t>FR1 only</w:t>
            </w:r>
          </w:p>
        </w:tc>
      </w:tr>
    </w:tbl>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sz w:val="20"/>
          <w:szCs w:val="20"/>
          <w:lang w:val="en-US" w:eastAsia="zh-CN" w:bidi="ar-SA"/>
        </w:rPr>
      </w:pPr>
      <w:r>
        <w:rPr>
          <w:rFonts w:hint="eastAsia" w:eastAsia="等线" w:cs="Times New Roman"/>
          <w:sz w:val="20"/>
          <w:szCs w:val="20"/>
          <w:lang w:val="en-US" w:eastAsia="zh-CN" w:bidi="ar-SA"/>
        </w:rPr>
        <w:t>For downlink carrier switching, similarly we cannot restrict the implementation for UE supporting low-low CA band combination, but UE needs to report the downlink carrier switching capability to NW. There is no need to report the capability for those UE supports low-low CA band combination does not support downlink carrier switching feature.</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b/>
          <w:bCs/>
          <w:sz w:val="20"/>
          <w:szCs w:val="20"/>
          <w:lang w:val="en-US" w:eastAsia="zh-CN" w:bidi="ar-SA"/>
        </w:rPr>
      </w:pPr>
      <w:r>
        <w:rPr>
          <w:rFonts w:hint="eastAsia" w:eastAsia="等线" w:cs="Times New Roman"/>
          <w:b/>
          <w:bCs/>
          <w:sz w:val="20"/>
          <w:szCs w:val="20"/>
          <w:lang w:val="en-US" w:eastAsia="zh-CN" w:bidi="ar-SA"/>
        </w:rPr>
        <w:t>Proposal 1. New capability is needed to indicate whether UE supports downlink carrier switching.</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sz w:val="20"/>
          <w:szCs w:val="20"/>
          <w:lang w:val="en-US" w:eastAsia="zh-CN" w:bidi="ar-SA"/>
        </w:rPr>
      </w:pPr>
      <w:r>
        <w:rPr>
          <w:rFonts w:hint="eastAsia" w:eastAsia="等线" w:cs="Times New Roman"/>
          <w:sz w:val="20"/>
          <w:szCs w:val="20"/>
          <w:lang w:val="en-US" w:eastAsia="zh-CN" w:bidi="ar-SA"/>
        </w:rPr>
        <w:t>In our understanding, different switching delay time or switching period for the carriers switching happen in main Tx/Rx antenna port and diversity Rx antenna ports due to different implementation between main Tx/Rx antenna port and diversity Rx antenna ports. Nevertheless, the final switching period for carriers switching should use the same Tx switching period as baseline, and meanwhile, a new capability for downlink carrier switching period should be defined accordingly.</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sz w:val="20"/>
          <w:szCs w:val="20"/>
          <w:lang w:val="en-US" w:eastAsia="zh-CN" w:bidi="ar-SA"/>
        </w:rPr>
      </w:pPr>
      <w:r>
        <w:rPr>
          <w:rFonts w:hint="eastAsia" w:eastAsia="等线" w:cs="Times New Roman"/>
          <w:b/>
          <w:bCs/>
          <w:sz w:val="20"/>
          <w:szCs w:val="20"/>
          <w:lang w:val="en-US" w:eastAsia="zh-CN" w:bidi="ar-SA"/>
        </w:rPr>
        <w:t>Proposal 2. To use 35us, 140us, and 210us as baseline for the switching period, and a</w:t>
      </w:r>
      <w:r>
        <w:rPr>
          <w:rFonts w:hint="default" w:eastAsia="等线" w:cs="Times New Roman"/>
          <w:b/>
          <w:bCs/>
          <w:sz w:val="20"/>
          <w:szCs w:val="20"/>
          <w:lang w:val="en-US" w:eastAsia="zh-CN" w:bidi="ar-SA"/>
        </w:rPr>
        <w:t xml:space="preserve"> n</w:t>
      </w:r>
      <w:r>
        <w:rPr>
          <w:rFonts w:hint="eastAsia" w:eastAsia="等线" w:cs="Times New Roman"/>
          <w:b/>
          <w:bCs/>
          <w:sz w:val="20"/>
          <w:szCs w:val="20"/>
          <w:lang w:val="en-US" w:eastAsia="zh-CN" w:bidi="ar-SA"/>
        </w:rPr>
        <w:t>ew capability for downlink carrier switching period should be defined accordingly.</w:t>
      </w:r>
    </w:p>
    <w:p>
      <w:pPr>
        <w:overflowPunct/>
        <w:autoSpaceDE/>
        <w:autoSpaceDN/>
        <w:adjustRightInd/>
        <w:spacing w:before="120" w:beforeLines="0" w:after="120" w:afterLines="0" w:line="240" w:lineRule="auto"/>
        <w:jc w:val="left"/>
        <w:textAlignment w:val="auto"/>
        <w:rPr>
          <w:rFonts w:ascii="Times New Roman" w:hAnsi="Times New Roman" w:eastAsia="等线" w:cs="Times New Roman"/>
          <w:kern w:val="0"/>
          <w:sz w:val="20"/>
          <w:lang w:val="en-GB" w:eastAsia="en-GB"/>
        </w:rPr>
      </w:pPr>
      <w:r>
        <w:rPr>
          <w:rFonts w:hint="eastAsia" w:eastAsia="等线" w:cs="Times New Roman"/>
          <w:sz w:val="20"/>
          <w:szCs w:val="20"/>
          <w:lang w:val="en-US" w:eastAsia="zh-CN" w:bidi="ar-SA"/>
        </w:rPr>
        <w:t>In terms of the justification of the WID, a</w:t>
      </w:r>
      <w:r>
        <w:rPr>
          <w:rFonts w:ascii="Times New Roman" w:hAnsi="Times New Roman" w:eastAsia="等线" w:cs="Times New Roman"/>
          <w:kern w:val="0"/>
          <w:sz w:val="20"/>
          <w:lang w:val="en-GB" w:eastAsia="en-GB"/>
        </w:rPr>
        <w:t>n enhancement of the 3GPP specification is needed to enable the following solution:</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Device needs to support switching: when the SCell operation is triggered, UE needs to switch to the SCell, and during the operation period there is no simultaneous Tx/Rx between the PCell and the SCell</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Device switches back to the PCell after the SCell operation is finished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ascii="Arial" w:hAnsi="Arial" w:eastAsia="宋体" w:cs="Arial"/>
          <w:bCs/>
          <w:iCs/>
          <w:sz w:val="20"/>
          <w:lang w:val="en-US" w:eastAsia="zh-CN"/>
        </w:rPr>
      </w:pPr>
      <w:r>
        <w:rPr>
          <w:rFonts w:hint="eastAsia" w:eastAsia="等线" w:cs="Times New Roman"/>
          <w:sz w:val="20"/>
          <w:szCs w:val="20"/>
          <w:lang w:val="en-US" w:eastAsia="zh-CN" w:bidi="ar-SA"/>
        </w:rPr>
        <w:t>In our understanding, at least it is the baseline assumption that neither of the two carriers is expected to be used for receiving during the switching period.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等线" w:cs="Times New Roman"/>
          <w:b/>
          <w:bCs/>
          <w:iCs w:val="0"/>
          <w:sz w:val="20"/>
          <w:lang w:val="en-US" w:eastAsia="zh-CN"/>
        </w:rPr>
      </w:pPr>
      <w:r>
        <w:rPr>
          <w:rFonts w:hint="eastAsia" w:eastAsia="等线" w:cs="Times New Roman"/>
          <w:b/>
          <w:bCs/>
          <w:sz w:val="20"/>
          <w:szCs w:val="20"/>
          <w:lang w:val="en-US" w:eastAsia="zh-CN" w:bidi="ar-SA"/>
        </w:rPr>
        <w:t>Proposal 3. As baseline UE assumption, neither of the two carriers is expected to be used for receiving during the switching period.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sz w:val="20"/>
          <w:lang w:val="en-US" w:eastAsia="zh-CN" w:bidi="ar-SA"/>
        </w:rPr>
      </w:pPr>
      <w:r>
        <w:rPr>
          <w:rFonts w:hint="eastAsia" w:eastAsia="等线" w:cs="Times New Roman"/>
          <w:sz w:val="20"/>
          <w:szCs w:val="20"/>
          <w:lang w:val="en-US" w:eastAsia="zh-CN" w:bidi="ar-SA"/>
        </w:rPr>
        <w:t xml:space="preserve">As </w:t>
      </w:r>
      <w:r>
        <w:rPr>
          <w:rFonts w:ascii="Times New Roman" w:hAnsi="Times New Roman" w:eastAsia="等线" w:cs="Times New Roman"/>
          <w:sz w:val="20"/>
          <w:lang w:val="en-GB" w:eastAsia="en-GB" w:bidi="ar-SA"/>
        </w:rPr>
        <w:t>there is no simultaneous Tx/Rx between the PCell and the SCell</w:t>
      </w:r>
      <w:r>
        <w:rPr>
          <w:rFonts w:hint="eastAsia" w:eastAsia="等线" w:cs="Times New Roman"/>
          <w:sz w:val="20"/>
          <w:lang w:val="en-US" w:eastAsia="zh-CN" w:bidi="ar-SA"/>
        </w:rPr>
        <w:t>, as illustrated in Fig 1., Rx is only happened in either switch-from carrier or switch-to carrier. In other words, only switchedDL option (similar to switchedUL for Tx switching) can be considered for low-low CA downlink carrier switching in this WID.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sz w:val="20"/>
          <w:lang w:val="en-US" w:eastAsia="zh-CN" w:bidi="ar-SA"/>
        </w:rPr>
      </w:pPr>
      <w:r>
        <w:rPr>
          <w:rFonts w:hint="eastAsia" w:eastAsia="等线" w:cs="Times New Roman"/>
          <w:b/>
          <w:bCs/>
          <w:sz w:val="20"/>
          <w:szCs w:val="20"/>
          <w:lang w:val="en-US" w:eastAsia="zh-CN" w:bidi="ar-SA"/>
        </w:rPr>
        <w:t>Proposal 4. O</w:t>
      </w:r>
      <w:r>
        <w:rPr>
          <w:rFonts w:hint="eastAsia" w:eastAsia="等线" w:cs="Times New Roman"/>
          <w:b/>
          <w:bCs/>
          <w:sz w:val="20"/>
          <w:lang w:val="en-US" w:eastAsia="zh-CN" w:bidi="ar-SA"/>
        </w:rPr>
        <w:t>nly switchedDL option can be considered for low-low CA downlink carrier switching in this WID.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sz w:val="20"/>
          <w:szCs w:val="20"/>
          <w:lang w:val="en-US" w:eastAsia="zh-CN"/>
        </w:rPr>
      </w:pPr>
      <w:r>
        <w:rPr>
          <w:rFonts w:hint="eastAsia" w:eastAsia="等线" w:cs="Times New Roman"/>
          <w:sz w:val="20"/>
          <w:szCs w:val="20"/>
          <w:lang w:val="en-US" w:eastAsia="zh-CN" w:bidi="ar-SA"/>
        </w:rPr>
        <w:t xml:space="preserve">For the time mask, before RAN4 discussing </w:t>
      </w:r>
      <w:r>
        <w:rPr>
          <w:rFonts w:hint="eastAsia" w:cs="Times New Roman"/>
          <w:sz w:val="20"/>
          <w:szCs w:val="20"/>
          <w:lang w:val="en-US" w:eastAsia="zh-CN"/>
        </w:rPr>
        <w:t>downlink carrier switching method, there is no any time mask defined for downlink. The time mask requirements (a.k.a transmit ON/OFF time mask) are only defined for uplink/transmitter in subclause 6.3/6.3A in TS38.101-1, including ON/OFF power transient period for single carrier operation, and for inter-band CA operation, additional switching period and its location are included when uplink carrier switching period capability is present.</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i w:val="0"/>
          <w:iCs/>
          <w:sz w:val="20"/>
          <w:szCs w:val="20"/>
          <w:lang w:val="en-US" w:eastAsia="zh-CN"/>
        </w:rPr>
      </w:pPr>
      <w:r>
        <w:rPr>
          <w:rFonts w:hint="eastAsia" w:cs="Times New Roman"/>
          <w:sz w:val="20"/>
          <w:szCs w:val="20"/>
          <w:lang w:val="en-US" w:eastAsia="zh-CN"/>
        </w:rPr>
        <w:t xml:space="preserve">For the uplink switching time mask, the ON/OFF power transient period is not included in the switching period, and the semi-static configuration of switching period are located in either carrier as </w:t>
      </w:r>
      <w:r>
        <w:rPr>
          <w:sz w:val="20"/>
          <w:szCs w:val="20"/>
        </w:rPr>
        <w:t>indicated in</w:t>
      </w:r>
      <w:r>
        <w:rPr>
          <w:rFonts w:hint="eastAsia"/>
          <w:sz w:val="20"/>
          <w:szCs w:val="20"/>
        </w:rPr>
        <w:t xml:space="preserve"> RRC </w:t>
      </w:r>
      <w:r>
        <w:rPr>
          <w:sz w:val="20"/>
          <w:szCs w:val="20"/>
        </w:rPr>
        <w:t>signalling</w:t>
      </w:r>
      <w:r>
        <w:rPr>
          <w:rFonts w:hint="eastAsia"/>
          <w:sz w:val="20"/>
          <w:szCs w:val="20"/>
        </w:rPr>
        <w:t xml:space="preserve"> </w:t>
      </w:r>
      <w:r>
        <w:rPr>
          <w:i/>
          <w:sz w:val="20"/>
          <w:szCs w:val="20"/>
        </w:rPr>
        <w:t>uplinkTxSwitchingPeriodLocation</w:t>
      </w:r>
      <w:r>
        <w:rPr>
          <w:rFonts w:hint="eastAsia"/>
          <w:i/>
          <w:sz w:val="20"/>
          <w:szCs w:val="20"/>
          <w:lang w:val="en-US" w:eastAsia="zh-CN"/>
        </w:rPr>
        <w:t xml:space="preserve">. </w:t>
      </w:r>
      <w:r>
        <w:rPr>
          <w:rFonts w:hint="eastAsia"/>
          <w:i w:val="0"/>
          <w:iCs/>
          <w:sz w:val="20"/>
          <w:szCs w:val="20"/>
          <w:lang w:val="en-US" w:eastAsia="zh-CN"/>
        </w:rPr>
        <w:t xml:space="preserve">In this case, </w:t>
      </w:r>
      <w:r>
        <w:rPr>
          <w:rFonts w:hint="eastAsia" w:cs="Times New Roman"/>
          <w:sz w:val="20"/>
          <w:szCs w:val="20"/>
          <w:lang w:val="en-US" w:eastAsia="zh-CN"/>
        </w:rPr>
        <w:t>the switching period are usually located in the upper TTI edge of the switch-from carrier and the lower TTI edge of the switch-to carrier. Here TTI could be slot/subslot or symbol. In other words, the switching period should not be located in both carriers.</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sz w:val="20"/>
          <w:szCs w:val="20"/>
          <w:lang w:eastAsia="zh-CN"/>
        </w:rPr>
      </w:pPr>
      <w:r>
        <w:rPr>
          <w:rFonts w:hint="eastAsia"/>
          <w:i w:val="0"/>
          <w:iCs/>
          <w:sz w:val="20"/>
          <w:szCs w:val="20"/>
          <w:lang w:val="en-US" w:eastAsia="zh-CN"/>
        </w:rPr>
        <w:t>In addition,</w:t>
      </w:r>
      <w:r>
        <w:rPr>
          <w:rFonts w:hint="eastAsia"/>
          <w:i/>
          <w:sz w:val="20"/>
          <w:szCs w:val="20"/>
          <w:lang w:val="en-US" w:eastAsia="zh-CN"/>
        </w:rPr>
        <w:t xml:space="preserve"> </w:t>
      </w:r>
      <w:r>
        <w:rPr>
          <w:sz w:val="20"/>
          <w:szCs w:val="20"/>
          <w:lang w:eastAsia="zh-CN"/>
        </w:rPr>
        <w:t xml:space="preserve">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sz w:val="20"/>
          <w:szCs w:val="20"/>
          <w:lang w:val="en-US" w:eastAsia="zh-CN"/>
        </w:rPr>
      </w:pPr>
      <w:r>
        <w:rPr>
          <w:rFonts w:hint="eastAsia"/>
          <w:sz w:val="20"/>
          <w:szCs w:val="20"/>
          <w:lang w:val="en-US" w:eastAsia="zh-CN"/>
        </w:rPr>
        <w:t xml:space="preserve">We think the above approach can also be applied for the time mask of downlink carrier switching except the </w:t>
      </w:r>
      <w:r>
        <w:rPr>
          <w:rFonts w:hint="eastAsia" w:cs="Times New Roman"/>
          <w:sz w:val="20"/>
          <w:szCs w:val="20"/>
          <w:lang w:val="en-US" w:eastAsia="zh-CN"/>
        </w:rPr>
        <w:t>ON/OFF power transient period, which are:</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i w:val="0"/>
          <w:iCs/>
          <w:sz w:val="20"/>
          <w:szCs w:val="20"/>
          <w:lang w:val="en-US" w:eastAsia="zh-CN"/>
        </w:rPr>
      </w:pPr>
      <w:r>
        <w:rPr>
          <w:rFonts w:hint="eastAsia" w:cs="Times New Roman"/>
          <w:sz w:val="20"/>
          <w:szCs w:val="20"/>
          <w:lang w:val="en-US" w:eastAsia="zh-CN"/>
        </w:rPr>
        <w:t xml:space="preserve">For the downlink switching time mask, the semi-static configuration of switching period are located in either carrier as </w:t>
      </w:r>
      <w:r>
        <w:rPr>
          <w:sz w:val="20"/>
          <w:szCs w:val="20"/>
        </w:rPr>
        <w:t>indicated in</w:t>
      </w:r>
      <w:r>
        <w:rPr>
          <w:rFonts w:hint="eastAsia"/>
          <w:sz w:val="20"/>
          <w:szCs w:val="20"/>
        </w:rPr>
        <w:t xml:space="preserve"> RRC </w:t>
      </w:r>
      <w:r>
        <w:rPr>
          <w:sz w:val="20"/>
          <w:szCs w:val="20"/>
        </w:rPr>
        <w:t>signalling</w:t>
      </w:r>
      <w:r>
        <w:rPr>
          <w:rFonts w:hint="eastAsia"/>
          <w:sz w:val="20"/>
          <w:szCs w:val="20"/>
          <w:lang w:val="en-US" w:eastAsia="zh-CN"/>
        </w:rPr>
        <w:t xml:space="preserve"> downlink carrier switching period location</w:t>
      </w:r>
      <w:r>
        <w:rPr>
          <w:rFonts w:hint="eastAsia"/>
          <w:i/>
          <w:sz w:val="20"/>
          <w:szCs w:val="20"/>
          <w:lang w:val="en-US" w:eastAsia="zh-CN"/>
        </w:rPr>
        <w:t xml:space="preserve">. </w:t>
      </w:r>
      <w:r>
        <w:rPr>
          <w:rFonts w:hint="eastAsia"/>
          <w:i w:val="0"/>
          <w:iCs/>
          <w:sz w:val="20"/>
          <w:szCs w:val="20"/>
          <w:lang w:val="en-US" w:eastAsia="zh-CN"/>
        </w:rPr>
        <w:t xml:space="preserve">In this case, </w:t>
      </w:r>
      <w:r>
        <w:rPr>
          <w:rFonts w:hint="eastAsia" w:cs="Times New Roman"/>
          <w:sz w:val="20"/>
          <w:szCs w:val="20"/>
          <w:lang w:val="en-US" w:eastAsia="zh-CN"/>
        </w:rPr>
        <w:t xml:space="preserve">the switching period are usually located in the upper TTI edge of the switch-from carrier and the lower TTI edge of the switch-to carrier. Here TTI could be slot/subslot or symbol. </w:t>
      </w:r>
      <w:r>
        <w:rPr>
          <w:rFonts w:hint="eastAsia"/>
          <w:lang w:val="en-US" w:eastAsia="zh-CN"/>
        </w:rPr>
        <w:t>Illustration for the time mask for downlink carrier switching period is shown below.</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pPr>
      <w:r>
        <w:drawing>
          <wp:inline distT="0" distB="0" distL="114300" distR="114300">
            <wp:extent cx="6127750" cy="2804160"/>
            <wp:effectExtent l="0" t="0" r="139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6127750" cy="280416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auto"/>
        <w:rPr>
          <w:rFonts w:hint="default" w:eastAsia="宋体"/>
          <w:lang w:val="en-US" w:eastAsia="zh-CN"/>
        </w:rPr>
      </w:pPr>
      <w:r>
        <w:rPr>
          <w:rFonts w:hint="eastAsia"/>
          <w:lang w:val="en-US" w:eastAsia="zh-CN"/>
        </w:rPr>
        <w:t>Fig 1. Illustration for the time mask for downlink carrier switching period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sz w:val="20"/>
          <w:szCs w:val="20"/>
          <w:lang w:eastAsia="zh-CN"/>
        </w:rPr>
      </w:pPr>
      <w:r>
        <w:rPr>
          <w:rFonts w:hint="eastAsia"/>
          <w:i w:val="0"/>
          <w:iCs/>
          <w:sz w:val="20"/>
          <w:szCs w:val="20"/>
          <w:lang w:val="en-US" w:eastAsia="zh-CN"/>
        </w:rPr>
        <w:t>In addition,</w:t>
      </w:r>
      <w:r>
        <w:rPr>
          <w:rFonts w:hint="eastAsia"/>
          <w:i/>
          <w:sz w:val="20"/>
          <w:szCs w:val="20"/>
          <w:lang w:val="en-US" w:eastAsia="zh-CN"/>
        </w:rPr>
        <w:t xml:space="preserve"> </w:t>
      </w:r>
      <w:r>
        <w:rPr>
          <w:sz w:val="20"/>
          <w:szCs w:val="20"/>
          <w:lang w:eastAsia="zh-CN"/>
        </w:rPr>
        <w:t xml:space="preserve">if there is no </w:t>
      </w:r>
      <w:r>
        <w:rPr>
          <w:rFonts w:hint="eastAsia"/>
          <w:sz w:val="20"/>
          <w:szCs w:val="20"/>
          <w:lang w:val="en-US" w:eastAsia="zh-CN"/>
        </w:rPr>
        <w:t xml:space="preserve">downlink receive </w:t>
      </w:r>
      <w:r>
        <w:rPr>
          <w:sz w:val="20"/>
          <w:szCs w:val="20"/>
          <w:lang w:eastAsia="zh-CN"/>
        </w:rPr>
        <w:t xml:space="preserve">scheduled or configured on the switch-from carrier for at least the duration of the switching period (X µs) before the point in time the UE is scheduled or configured to start the </w:t>
      </w:r>
      <w:r>
        <w:rPr>
          <w:rFonts w:hint="eastAsia"/>
          <w:sz w:val="20"/>
          <w:szCs w:val="20"/>
          <w:lang w:val="en-US" w:eastAsia="zh-CN"/>
        </w:rPr>
        <w:t xml:space="preserve">receive </w:t>
      </w:r>
      <w:r>
        <w:rPr>
          <w:sz w:val="20"/>
          <w:szCs w:val="20"/>
          <w:lang w:eastAsia="zh-CN"/>
        </w:rPr>
        <w:t xml:space="preserve">on the switch-to carrier, the switching period is fully contained in the time period between the end of the </w:t>
      </w:r>
      <w:r>
        <w:rPr>
          <w:rFonts w:hint="eastAsia"/>
          <w:sz w:val="20"/>
          <w:szCs w:val="20"/>
          <w:lang w:val="en-US" w:eastAsia="zh-CN"/>
        </w:rPr>
        <w:t xml:space="preserve">receive </w:t>
      </w:r>
      <w:r>
        <w:rPr>
          <w:sz w:val="20"/>
          <w:szCs w:val="20"/>
          <w:lang w:eastAsia="zh-CN"/>
        </w:rPr>
        <w:t xml:space="preserve">on the switch-from carrier and the start of the </w:t>
      </w:r>
      <w:r>
        <w:rPr>
          <w:rFonts w:hint="eastAsia"/>
          <w:sz w:val="20"/>
          <w:szCs w:val="20"/>
          <w:lang w:val="en-US" w:eastAsia="zh-CN"/>
        </w:rPr>
        <w:t xml:space="preserve">receive </w:t>
      </w:r>
      <w:r>
        <w:rPr>
          <w:sz w:val="20"/>
          <w:szCs w:val="20"/>
          <w:lang w:eastAsia="zh-CN"/>
        </w:rPr>
        <w:t>on the switch-to carrier.</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i/>
          <w:sz w:val="20"/>
          <w:szCs w:val="20"/>
          <w:lang w:val="en-US" w:eastAsia="zh-CN"/>
        </w:rPr>
      </w:pPr>
      <w:r>
        <w:rPr>
          <w:rFonts w:hint="eastAsia"/>
          <w:b/>
          <w:bCs/>
          <w:sz w:val="20"/>
          <w:szCs w:val="20"/>
          <w:lang w:val="en-US" w:eastAsia="zh-CN"/>
        </w:rPr>
        <w:t xml:space="preserve">Proposal 5. </w:t>
      </w:r>
      <w:r>
        <w:rPr>
          <w:rFonts w:hint="eastAsia" w:cs="Times New Roman"/>
          <w:b/>
          <w:bCs/>
          <w:sz w:val="20"/>
          <w:szCs w:val="20"/>
          <w:lang w:val="en-US" w:eastAsia="zh-CN"/>
        </w:rPr>
        <w:t xml:space="preserve">For the downlink switching time mask, the switching period are located in either carrier as </w:t>
      </w:r>
      <w:r>
        <w:rPr>
          <w:b/>
          <w:bCs/>
          <w:sz w:val="20"/>
          <w:szCs w:val="20"/>
        </w:rPr>
        <w:t>indicated in</w:t>
      </w:r>
      <w:r>
        <w:rPr>
          <w:rFonts w:hint="eastAsia"/>
          <w:b/>
          <w:bCs/>
          <w:sz w:val="20"/>
          <w:szCs w:val="20"/>
        </w:rPr>
        <w:t xml:space="preserve"> RRC </w:t>
      </w:r>
      <w:r>
        <w:rPr>
          <w:b/>
          <w:bCs/>
          <w:sz w:val="20"/>
          <w:szCs w:val="20"/>
        </w:rPr>
        <w:t>signalling</w:t>
      </w:r>
      <w:r>
        <w:rPr>
          <w:rFonts w:hint="eastAsia"/>
          <w:b/>
          <w:bCs/>
          <w:sz w:val="20"/>
          <w:szCs w:val="20"/>
          <w:lang w:val="en-US" w:eastAsia="zh-CN"/>
        </w:rPr>
        <w:t xml:space="preserve"> downlink carrier switching period location</w:t>
      </w:r>
      <w:r>
        <w:rPr>
          <w:rFonts w:hint="eastAsia"/>
          <w:b/>
          <w:bCs/>
          <w:i/>
          <w:sz w:val="20"/>
          <w:szCs w:val="20"/>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bCs/>
          <w:i/>
          <w:sz w:val="20"/>
          <w:szCs w:val="20"/>
          <w:lang w:val="en-US" w:eastAsia="zh-CN"/>
        </w:rPr>
      </w:pPr>
      <w:r>
        <w:rPr>
          <w:rFonts w:hint="eastAsia"/>
          <w:b/>
          <w:bCs/>
          <w:sz w:val="20"/>
          <w:szCs w:val="20"/>
          <w:lang w:val="en-US" w:eastAsia="zh-CN"/>
        </w:rPr>
        <w:t>Proposal 6. I</w:t>
      </w:r>
      <w:r>
        <w:rPr>
          <w:b/>
          <w:bCs/>
          <w:sz w:val="20"/>
          <w:szCs w:val="20"/>
          <w:lang w:eastAsia="zh-CN"/>
        </w:rPr>
        <w:t xml:space="preserve">f there is no </w:t>
      </w:r>
      <w:r>
        <w:rPr>
          <w:rFonts w:hint="eastAsia"/>
          <w:b/>
          <w:bCs/>
          <w:sz w:val="20"/>
          <w:szCs w:val="20"/>
          <w:lang w:val="en-US" w:eastAsia="zh-CN"/>
        </w:rPr>
        <w:t xml:space="preserve">downlink receive </w:t>
      </w:r>
      <w:r>
        <w:rPr>
          <w:b/>
          <w:bCs/>
          <w:sz w:val="20"/>
          <w:szCs w:val="20"/>
          <w:lang w:eastAsia="zh-CN"/>
        </w:rPr>
        <w:t xml:space="preserve">scheduled or configured on the switch-from carrier for at least the duration of the switching period (X µs) before the point in time the UE is scheduled or configured to start the </w:t>
      </w:r>
      <w:r>
        <w:rPr>
          <w:rFonts w:hint="eastAsia"/>
          <w:b/>
          <w:bCs/>
          <w:sz w:val="20"/>
          <w:szCs w:val="20"/>
          <w:lang w:val="en-US" w:eastAsia="zh-CN"/>
        </w:rPr>
        <w:t xml:space="preserve">receive </w:t>
      </w:r>
      <w:r>
        <w:rPr>
          <w:b/>
          <w:bCs/>
          <w:sz w:val="20"/>
          <w:szCs w:val="20"/>
          <w:lang w:eastAsia="zh-CN"/>
        </w:rPr>
        <w:t xml:space="preserve">on the switch-to carrier, the switching period is fully contained in the time period between the end of the </w:t>
      </w:r>
      <w:r>
        <w:rPr>
          <w:rFonts w:hint="eastAsia"/>
          <w:b/>
          <w:bCs/>
          <w:sz w:val="20"/>
          <w:szCs w:val="20"/>
          <w:lang w:val="en-US" w:eastAsia="zh-CN"/>
        </w:rPr>
        <w:t xml:space="preserve">receive </w:t>
      </w:r>
      <w:r>
        <w:rPr>
          <w:b/>
          <w:bCs/>
          <w:sz w:val="20"/>
          <w:szCs w:val="20"/>
          <w:lang w:eastAsia="zh-CN"/>
        </w:rPr>
        <w:t xml:space="preserve">on the switch-from carrier and the start of the </w:t>
      </w:r>
      <w:r>
        <w:rPr>
          <w:rFonts w:hint="eastAsia"/>
          <w:b/>
          <w:bCs/>
          <w:sz w:val="20"/>
          <w:szCs w:val="20"/>
          <w:lang w:val="en-US" w:eastAsia="zh-CN"/>
        </w:rPr>
        <w:t xml:space="preserve">receive </w:t>
      </w:r>
      <w:r>
        <w:rPr>
          <w:b/>
          <w:bCs/>
          <w:sz w:val="20"/>
          <w:szCs w:val="20"/>
          <w:lang w:eastAsia="zh-CN"/>
        </w:rPr>
        <w:t>on the switch-to carrier.</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kern w:val="2"/>
          <w:sz w:val="20"/>
          <w:szCs w:val="20"/>
          <w:lang w:val="en-US" w:eastAsia="zh-CN" w:bidi="ar-SA"/>
        </w:rPr>
      </w:pPr>
      <w:r>
        <w:rPr>
          <w:rFonts w:hint="eastAsia" w:cs="Times New Roman"/>
          <w:sz w:val="20"/>
          <w:szCs w:val="20"/>
          <w:lang w:val="en-US" w:eastAsia="zh-CN"/>
        </w:rPr>
        <w:t xml:space="preserve">Moreover, besides the default UE behaviors, some optional advanced UE features were approved in Rel-18 3 and 4 bands Tx switching. For example, </w:t>
      </w:r>
      <w:r>
        <w:rPr>
          <w:rFonts w:hint="eastAsia" w:ascii="Times New Roman" w:hAnsi="Times New Roman" w:eastAsia="宋体" w:cs="Times New Roman"/>
          <w:kern w:val="2"/>
          <w:sz w:val="20"/>
          <w:szCs w:val="20"/>
          <w:lang w:val="en-US" w:eastAsia="zh-CN" w:bidi="ar-SA"/>
        </w:rPr>
        <w:t>Introduce optional UE capability to allow UL transmission on the band with the number of Tx chain unchanged (i.e., one Tx chain is maintained on the band) during UL switching.</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sz w:val="20"/>
          <w:szCs w:val="20"/>
          <w:lang w:val="en-US" w:eastAsia="zh-CN" w:bidi="ar-SA"/>
        </w:rPr>
      </w:pPr>
      <w:r>
        <w:rPr>
          <w:rFonts w:hint="eastAsia" w:cs="Times New Roman"/>
          <w:kern w:val="2"/>
          <w:sz w:val="20"/>
          <w:szCs w:val="20"/>
          <w:lang w:val="en-US" w:eastAsia="zh-CN" w:bidi="ar-SA"/>
        </w:rPr>
        <w:t xml:space="preserve">For downlink carrier switching, some optional advanced UE features can also be considered besides </w:t>
      </w:r>
      <w:r>
        <w:rPr>
          <w:rFonts w:hint="eastAsia" w:cs="Times New Roman"/>
          <w:sz w:val="20"/>
          <w:szCs w:val="20"/>
          <w:lang w:val="en-US" w:eastAsia="zh-CN"/>
        </w:rPr>
        <w:t>the default UE behaviors</w:t>
      </w:r>
      <w:r>
        <w:rPr>
          <w:rFonts w:hint="eastAsia" w:cs="Times New Roman"/>
          <w:kern w:val="2"/>
          <w:sz w:val="20"/>
          <w:szCs w:val="20"/>
          <w:lang w:val="en-US" w:eastAsia="zh-CN" w:bidi="ar-SA"/>
        </w:rPr>
        <w:t xml:space="preserve">. </w:t>
      </w:r>
      <w:r>
        <w:rPr>
          <w:rFonts w:hint="eastAsia" w:eastAsia="等线" w:cs="Times New Roman"/>
          <w:sz w:val="20"/>
          <w:szCs w:val="20"/>
          <w:lang w:val="en-US" w:eastAsia="zh-CN" w:bidi="ar-SA"/>
        </w:rPr>
        <w:t>For the example band combination of CA_n5A-n29A, in terms of the table 7.3.2-2 in TS38.101-1, the band n5 supports 4Rx antenna port for FWA form factor and handheld UE optionally, but for band n29, 4Rx antenna port is not supported. In addition, n5 also supports UL MIMO.</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i/>
          <w:iCs/>
          <w:vertAlign w:val="subscript"/>
          <w:lang w:val="en-GB" w:eastAsia="en-GB" w:bidi="ar-SA"/>
        </w:rPr>
      </w:pPr>
      <w:r>
        <w:rPr>
          <w:rFonts w:ascii="Arial" w:hAnsi="Arial" w:eastAsia="Times New Roman" w:cs="Times New Roman"/>
          <w:b/>
          <w:i/>
          <w:iCs/>
          <w:lang w:val="en-GB" w:eastAsia="en-GB" w:bidi="ar-SA"/>
        </w:rPr>
        <w:t>Table 7.3.2-2: Four antenna port reference sensitivity allowance ΔR</w:t>
      </w:r>
      <w:r>
        <w:rPr>
          <w:rFonts w:ascii="Arial" w:hAnsi="Arial" w:eastAsia="Times New Roman" w:cs="Times New Roman"/>
          <w:b/>
          <w:bCs/>
          <w:i/>
          <w:iCs/>
          <w:vertAlign w:val="subscript"/>
          <w:lang w:val="en-GB" w:eastAsia="en-GB" w:bidi="ar-SA"/>
        </w:rPr>
        <w:t>IB,4R</w:t>
      </w:r>
    </w:p>
    <w:tbl>
      <w:tblPr>
        <w:tblStyle w:val="23"/>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Operating band</w:t>
            </w:r>
          </w:p>
        </w:tc>
        <w:tc>
          <w:tcPr>
            <w:tcW w:w="2970"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Times New Roman"/>
                <w:b/>
                <w:i/>
                <w:iCs/>
                <w:sz w:val="18"/>
                <w:lang w:val="en-GB" w:eastAsia="en-GB" w:bidi="ar-SA"/>
              </w:rPr>
            </w:pPr>
            <w:r>
              <w:rPr>
                <w:rFonts w:ascii="Arial" w:hAnsi="Arial" w:eastAsia="Times New Roman" w:cs="Times New Roman"/>
                <w:b/>
                <w:i/>
                <w:iCs/>
                <w:sz w:val="18"/>
                <w:lang w:val="en-GB" w:eastAsia="en-GB" w:bidi="ar-SA"/>
              </w:rPr>
              <w:t>ΔR</w:t>
            </w:r>
            <w:r>
              <w:rPr>
                <w:rFonts w:ascii="Arial" w:hAnsi="Arial" w:eastAsia="Times New Roman" w:cs="Times New Roman"/>
                <w:b/>
                <w:i/>
                <w:iCs/>
                <w:sz w:val="18"/>
                <w:vertAlign w:val="subscript"/>
                <w:lang w:val="en-GB" w:eastAsia="en-GB" w:bidi="ar-SA"/>
              </w:rPr>
              <w:t xml:space="preserve">IB,4R </w:t>
            </w:r>
            <w:r>
              <w:rPr>
                <w:rFonts w:ascii="Arial" w:hAnsi="Arial" w:eastAsia="Times New Roman" w:cs="Times New Roman"/>
                <w:b/>
                <w:i/>
                <w:iCs/>
                <w:sz w:val="18"/>
                <w:lang w:val="en-GB" w:eastAsia="en-GB"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ascii="Arial" w:hAnsi="Arial" w:eastAsia="Times New Roman" w:cs="Times New Roman"/>
                <w:i/>
                <w:iCs/>
                <w:sz w:val="18"/>
                <w:lang w:val="en-GB" w:eastAsia="en-GB" w:bidi="ar-SA"/>
              </w:rPr>
            </w:pPr>
            <w:r>
              <w:rPr>
                <w:rFonts w:hint="eastAsia" w:ascii="Arial" w:hAnsi="Arial" w:eastAsia="宋体" w:cs="Times New Roman"/>
                <w:i/>
                <w:iCs/>
                <w:sz w:val="18"/>
                <w:highlight w:val="yellow"/>
                <w:lang w:val="en-US" w:eastAsia="zh-CN" w:bidi="ar-SA"/>
              </w:rPr>
              <w:t>n5,</w:t>
            </w:r>
            <w:r>
              <w:rPr>
                <w:rFonts w:hint="eastAsia" w:ascii="Arial" w:hAnsi="Arial" w:eastAsia="宋体" w:cs="Times New Roman"/>
                <w:i/>
                <w:iCs/>
                <w:sz w:val="18"/>
                <w:lang w:val="en-US" w:eastAsia="zh-CN" w:bidi="ar-SA"/>
              </w:rPr>
              <w:t xml:space="preserve"> </w:t>
            </w:r>
            <w:r>
              <w:rPr>
                <w:rFonts w:hint="eastAsia" w:ascii="Arial" w:hAnsi="Arial" w:eastAsia="等线" w:cs="Times New Roman"/>
                <w:i/>
                <w:iCs/>
                <w:sz w:val="18"/>
                <w:lang w:val="en-GB" w:eastAsia="zh-TW" w:bidi="ar-SA"/>
              </w:rPr>
              <w:t xml:space="preserve">n8, </w:t>
            </w:r>
            <w:r>
              <w:rPr>
                <w:rFonts w:hint="eastAsia" w:ascii="Arial" w:hAnsi="Arial" w:eastAsia="等线" w:cs="Times New Roman"/>
                <w:i/>
                <w:iCs/>
                <w:sz w:val="18"/>
                <w:lang w:val="en-US" w:eastAsia="zh-CN" w:bidi="ar-SA"/>
              </w:rPr>
              <w:t>n13, n26, n28, n71, n85, n105</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-2.7</w:t>
            </w:r>
            <w:r>
              <w:rPr>
                <w:rFonts w:ascii="Arial" w:hAnsi="Arial" w:eastAsia="Times New Roman" w:cs="Times New Roman"/>
                <w:i/>
                <w:iCs/>
                <w:sz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ascii="Arial" w:hAnsi="Arial" w:eastAsia="Times New Roman" w:cs="Times New Roman"/>
                <w:i/>
                <w:iCs/>
                <w:sz w:val="18"/>
                <w:lang w:val="en-GB" w:eastAsia="en-GB" w:bidi="ar-SA"/>
              </w:rPr>
            </w:pPr>
            <w:r>
              <w:rPr>
                <w:rFonts w:ascii="Arial" w:hAnsi="Arial" w:eastAsia="宋体" w:cs="Times New Roman"/>
                <w:i/>
                <w:iCs/>
                <w:sz w:val="18"/>
                <w:highlight w:val="yellow"/>
                <w:lang w:val="en-US" w:eastAsia="zh-CN" w:bidi="ar-SA"/>
              </w:rPr>
              <w:t>n5</w:t>
            </w:r>
            <w:r>
              <w:rPr>
                <w:rFonts w:ascii="Arial" w:hAnsi="Arial" w:eastAsia="宋体" w:cs="Times New Roman"/>
                <w:i/>
                <w:iCs/>
                <w:sz w:val="18"/>
                <w:lang w:val="en-US" w:eastAsia="zh-CN" w:bidi="ar-SA"/>
              </w:rPr>
              <w:t>, n8, n28, n71, n20, n26</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Times New Roman"/>
                <w:i/>
                <w:iCs/>
                <w:sz w:val="18"/>
                <w:lang w:val="en-GB" w:eastAsia="en-GB" w:bidi="ar-SA"/>
              </w:rPr>
            </w:pPr>
            <w:r>
              <w:rPr>
                <w:rFonts w:hint="eastAsia" w:ascii="Arial" w:hAnsi="Arial" w:eastAsia="Times New Roman" w:cs="Times New Roman"/>
                <w:i/>
                <w:iCs/>
                <w:sz w:val="18"/>
                <w:highlight w:val="none"/>
                <w:lang w:val="en-GB" w:eastAsia="zh-CN" w:bidi="ar-SA"/>
              </w:rPr>
              <w:t>-</w:t>
            </w:r>
            <w:r>
              <w:rPr>
                <w:rFonts w:ascii="Arial" w:hAnsi="Arial" w:eastAsia="Times New Roman" w:cs="Times New Roman"/>
                <w:i/>
                <w:iCs/>
                <w:sz w:val="18"/>
                <w:highlight w:val="none"/>
                <w:lang w:val="en-GB" w:eastAsia="zh-CN" w:bidi="ar-SA"/>
              </w:rPr>
              <w:t>2.4</w:t>
            </w:r>
            <w:r>
              <w:rPr>
                <w:rFonts w:ascii="Arial" w:hAnsi="Arial" w:eastAsia="Times New Roman" w:cs="Times New Roman"/>
                <w:i/>
                <w:iCs/>
                <w:sz w:val="18"/>
                <w:highlight w:val="none"/>
                <w:vertAlign w:val="superscript"/>
                <w:lang w:val="en-GB"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 xml:space="preserve">n1, n2, n3, </w:t>
            </w:r>
            <w:r>
              <w:rPr>
                <w:rFonts w:hint="eastAsia" w:ascii="Arial" w:hAnsi="Arial" w:eastAsia="宋体" w:cs="Times New Roman"/>
                <w:i/>
                <w:iCs/>
                <w:sz w:val="18"/>
                <w:lang w:val="en-US" w:eastAsia="zh-CN" w:bidi="ar-SA"/>
              </w:rPr>
              <w:t xml:space="preserve">n25, </w:t>
            </w:r>
            <w:r>
              <w:rPr>
                <w:rFonts w:ascii="Arial" w:hAnsi="Arial" w:eastAsia="Times New Roman" w:cs="Times New Roman"/>
                <w:i/>
                <w:iCs/>
                <w:sz w:val="18"/>
                <w:lang w:val="en-GB" w:eastAsia="en-GB" w:bidi="ar-SA"/>
              </w:rPr>
              <w:t>n30, n40, n7,</w:t>
            </w:r>
            <w:r>
              <w:rPr>
                <w:rFonts w:ascii="Arial" w:hAnsi="Arial" w:eastAsia="Calibri" w:cs="Times New Roman"/>
                <w:i/>
                <w:iCs/>
                <w:sz w:val="18"/>
                <w:lang w:val="en-GB" w:eastAsia="en-GB" w:bidi="ar-SA"/>
              </w:rPr>
              <w:t xml:space="preserve"> n34, n38, n39, n41, n66, n70</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ascii="Arial" w:hAnsi="Arial" w:eastAsia="Calibri" w:cs="Times New Roman"/>
                <w:i/>
                <w:iCs/>
                <w:sz w:val="18"/>
                <w:lang w:val="en-GB" w:eastAsia="en-GB" w:bidi="ar-SA"/>
              </w:rPr>
            </w:pPr>
            <w:r>
              <w:rPr>
                <w:rFonts w:ascii="Arial" w:hAnsi="Arial" w:eastAsia="Calibri" w:cs="Times New Roman"/>
                <w:i/>
                <w:iCs/>
                <w:sz w:val="18"/>
                <w:lang w:val="en-GB" w:eastAsia="en-GB" w:bidi="ar-SA"/>
              </w:rPr>
              <w:t>n48, n77, n78, n79, n104</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ind w:left="851" w:hanging="851"/>
              <w:textAlignment w:val="baseline"/>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NOTE 1:</w:t>
            </w:r>
            <w:r>
              <w:rPr>
                <w:rFonts w:ascii="Arial" w:hAnsi="Arial" w:eastAsia="Times New Roman" w:cs="Times New Roman"/>
                <w:i/>
                <w:iCs/>
                <w:sz w:val="18"/>
                <w:lang w:val="en-GB" w:eastAsia="en-GB" w:bidi="ar-SA"/>
              </w:rPr>
              <w:tab/>
            </w:r>
            <w:r>
              <w:rPr>
                <w:rFonts w:ascii="Arial" w:hAnsi="Arial" w:eastAsia="Times New Roman" w:cs="Times New Roman"/>
                <w:i/>
                <w:iCs/>
                <w:sz w:val="18"/>
                <w:lang w:val="en-GB" w:eastAsia="en-GB" w:bidi="ar-SA"/>
              </w:rPr>
              <w:t>When 4 Rx operation is supported by FWA form factor</w:t>
            </w:r>
          </w:p>
          <w:p>
            <w:pPr>
              <w:keepNext/>
              <w:keepLines/>
              <w:pageBreakBefore w:val="0"/>
              <w:widowControl/>
              <w:kinsoku/>
              <w:wordWrap/>
              <w:overflowPunct w:val="0"/>
              <w:topLinePunct w:val="0"/>
              <w:autoSpaceDE w:val="0"/>
              <w:autoSpaceDN w:val="0"/>
              <w:bidi w:val="0"/>
              <w:adjustRightInd w:val="0"/>
              <w:snapToGrid/>
              <w:spacing w:beforeLines="0" w:after="0" w:afterLines="0" w:line="240" w:lineRule="auto"/>
              <w:ind w:left="851" w:hanging="851"/>
              <w:textAlignment w:val="baseline"/>
              <w:rPr>
                <w:rFonts w:ascii="Arial" w:hAnsi="Arial" w:eastAsia="Times New Roman" w:cs="Times New Roman"/>
                <w:i/>
                <w:iCs/>
                <w:sz w:val="18"/>
                <w:lang w:val="en-GB" w:eastAsia="en-GB" w:bidi="ar-SA"/>
              </w:rPr>
            </w:pPr>
            <w:r>
              <w:rPr>
                <w:rFonts w:ascii="Arial" w:hAnsi="Arial" w:eastAsia="Times New Roman" w:cs="Times New Roman"/>
                <w:i/>
                <w:iCs/>
                <w:sz w:val="18"/>
                <w:lang w:val="en-GB" w:eastAsia="en-GB" w:bidi="ar-SA"/>
              </w:rPr>
              <w:t>NOTE 2:</w:t>
            </w:r>
            <w:r>
              <w:rPr>
                <w:rFonts w:ascii="Arial" w:hAnsi="Arial" w:eastAsia="Times New Roman" w:cs="Times New Roman"/>
                <w:i/>
                <w:iCs/>
                <w:sz w:val="18"/>
                <w:lang w:val="en-GB" w:eastAsia="en-GB" w:bidi="ar-SA"/>
              </w:rPr>
              <w:tab/>
            </w:r>
            <w:r>
              <w:rPr>
                <w:rFonts w:ascii="Arial" w:hAnsi="Arial" w:eastAsia="Times New Roman" w:cs="Times New Roman"/>
                <w:i/>
                <w:iCs/>
                <w:sz w:val="18"/>
                <w:lang w:val="en-GB" w:eastAsia="en-GB" w:bidi="ar-SA"/>
              </w:rPr>
              <w:t>When 4Rx operation is supported by handheld UE.</w:t>
            </w:r>
          </w:p>
        </w:tc>
      </w:tr>
    </w:tbl>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sz w:val="20"/>
          <w:szCs w:val="20"/>
          <w:lang w:val="en-US" w:eastAsia="zh-CN" w:bidi="ar-SA"/>
        </w:rPr>
      </w:pPr>
      <w:r>
        <w:rPr>
          <w:rFonts w:hint="eastAsia" w:eastAsia="等线" w:cs="Times New Roman"/>
          <w:sz w:val="20"/>
          <w:szCs w:val="20"/>
          <w:lang w:val="en-US" w:eastAsia="zh-CN" w:bidi="ar-SA"/>
        </w:rPr>
        <w:t>In the case of the carriers in both n5 and n29 support 2Rx antenna ports, then all of the 2Rx antenna port in each band carrier are involved in the carrier switching. However, as mentioned above, the switching delay time or switching period for the carriers switching happen in main Tx/Rx antenna port and diversity Rx antenna ports might be different, then during the delta switching period of each involved receiver antenna port, UE can optional report the advanced UE capability to allow the carrier to receive if the switching time for this receiver antenna port is shorter. But of course the downlink receiving should be stopped in the switched-from carrier when the carrier switching period comes.</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sz w:val="20"/>
          <w:szCs w:val="20"/>
          <w:lang w:val="en-US" w:eastAsia="zh-CN" w:bidi="ar-SA"/>
        </w:rPr>
      </w:pPr>
      <w:r>
        <w:rPr>
          <w:rFonts w:hint="eastAsia" w:eastAsia="等线" w:cs="Times New Roman"/>
          <w:sz w:val="20"/>
          <w:szCs w:val="20"/>
          <w:lang w:val="en-US" w:eastAsia="zh-CN" w:bidi="ar-SA"/>
        </w:rPr>
        <w:t>In the case of the carrier of band n5 support 4Rx antenna ports but n29 support 2Rx antenna ports, then there are 2Rx antenna ports might not be involved in the carrier switching, UE can optional report the advanced UE capability to allow the carrier to receive in the receiver antenna port which is not involved in the carrier switching.</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b/>
          <w:bCs/>
          <w:sz w:val="20"/>
          <w:szCs w:val="20"/>
          <w:lang w:val="en-US" w:eastAsia="zh-CN" w:bidi="ar-SA"/>
        </w:rPr>
      </w:pPr>
      <w:r>
        <w:rPr>
          <w:rFonts w:hint="eastAsia" w:eastAsia="等线" w:cs="Times New Roman"/>
          <w:b/>
          <w:bCs/>
          <w:sz w:val="20"/>
          <w:szCs w:val="20"/>
          <w:lang w:val="en-US" w:eastAsia="zh-CN" w:bidi="ar-SA"/>
        </w:rPr>
        <w:t>Proposal 7: Beside</w:t>
      </w:r>
      <w:r>
        <w:rPr>
          <w:rFonts w:hint="eastAsia" w:cs="Times New Roman"/>
          <w:b/>
          <w:bCs/>
          <w:sz w:val="20"/>
          <w:szCs w:val="20"/>
          <w:lang w:val="en-US" w:eastAsia="zh-CN"/>
        </w:rPr>
        <w:t xml:space="preserve"> the default UE behaviors, </w:t>
      </w:r>
      <w:r>
        <w:rPr>
          <w:rFonts w:hint="eastAsia" w:cs="Times New Roman"/>
          <w:b/>
          <w:bCs/>
          <w:kern w:val="2"/>
          <w:sz w:val="20"/>
          <w:szCs w:val="20"/>
          <w:lang w:val="en-US" w:eastAsia="zh-CN" w:bidi="ar-SA"/>
        </w:rPr>
        <w:t>some optional advanced UE features can be considered, which needs to be further discussed.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宋体" w:cs="Arial"/>
          <w:sz w:val="20"/>
          <w:szCs w:val="20"/>
          <w:lang w:val="en-US" w:eastAsia="zh-CN"/>
        </w:rPr>
      </w:pPr>
      <w:r>
        <w:rPr>
          <w:rFonts w:hint="eastAsia" w:eastAsia="等线" w:cs="Times New Roman"/>
          <w:sz w:val="20"/>
          <w:szCs w:val="20"/>
          <w:lang w:val="en-US" w:eastAsia="zh-CN" w:bidi="ar-SA"/>
        </w:rPr>
        <w:t xml:space="preserve">In current RAN4 specification, unlike the other non-SDL single band, there are no RF requirements defined for SDL single band, instead they are defined associated with inter-band CA. For example, </w:t>
      </w:r>
      <w:r>
        <w:rPr>
          <w:rFonts w:eastAsia="宋体" w:cs="Arial"/>
          <w:sz w:val="20"/>
          <w:szCs w:val="20"/>
          <w:lang w:val="en-US" w:eastAsia="en-US"/>
        </w:rPr>
        <w:t xml:space="preserve">the reference sensitivity requirements </w:t>
      </w:r>
      <w:r>
        <w:rPr>
          <w:rFonts w:hint="eastAsia" w:eastAsia="宋体" w:cs="Arial"/>
          <w:sz w:val="20"/>
          <w:szCs w:val="20"/>
          <w:lang w:val="en-US" w:eastAsia="zh-CN"/>
        </w:rPr>
        <w:t xml:space="preserve">for SDL </w:t>
      </w:r>
      <w:r>
        <w:rPr>
          <w:rFonts w:eastAsia="宋体" w:cs="Arial"/>
          <w:sz w:val="20"/>
          <w:szCs w:val="20"/>
          <w:lang w:val="en-US" w:eastAsia="en-US"/>
        </w:rPr>
        <w:t>shall be verified by inter-band CA combinations with SDL band, which are supported by UE.</w:t>
      </w:r>
      <w:r>
        <w:rPr>
          <w:rFonts w:hint="eastAsia" w:eastAsia="宋体" w:cs="Arial"/>
          <w:sz w:val="20"/>
          <w:szCs w:val="20"/>
          <w:lang w:val="en-US" w:eastAsia="zh-CN"/>
        </w:rPr>
        <w:t xml:space="preserve"> In addition to REFSEN requirements, MSD requirements and delta Tib/Rib requirements are defined for some inter-band CA band combination with SDL band.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Arial"/>
          <w:sz w:val="20"/>
          <w:szCs w:val="20"/>
          <w:lang w:val="en-US" w:eastAsia="zh-CN"/>
        </w:rPr>
      </w:pPr>
      <w:r>
        <w:rPr>
          <w:rFonts w:hint="eastAsia" w:eastAsia="宋体" w:cs="Arial"/>
          <w:sz w:val="20"/>
          <w:szCs w:val="20"/>
          <w:lang w:val="en-US" w:eastAsia="zh-CN"/>
        </w:rPr>
        <w:t>In the WID, there is only one example band combination, the other band combination to be handled via the basket work item approach. Although it is not clear how to pursue it in basket WID approach at this stage, it seems RAN4 will introduce tables to specify which band combination can use downlink carrier switching method. If so, it will cause specification cumbersome if the downlink carrier switching method is defined as band combination manner. Actually basket WID approach</w:t>
      </w:r>
      <w:r>
        <w:rPr>
          <w:rFonts w:hint="eastAsia" w:cs="Arial"/>
          <w:sz w:val="20"/>
          <w:szCs w:val="20"/>
          <w:lang w:val="en-US" w:eastAsia="zh-CN"/>
        </w:rPr>
        <w:t xml:space="preserve"> to introduce additional band combination was also discussed in Rel-18 3/4 bands T</w:t>
      </w:r>
      <w:r>
        <w:rPr>
          <w:rFonts w:hint="eastAsia" w:eastAsia="宋体" w:cs="Arial"/>
          <w:sz w:val="20"/>
          <w:szCs w:val="20"/>
          <w:lang w:val="en-US" w:eastAsia="zh-CN"/>
        </w:rPr>
        <w:t xml:space="preserve">x switching discussion. But in the end, no basket WID approach is introduced for 3/4 bands Tx switching since it will be subjected to basket WID procedure/guidance, which needs at least 3 months delay when operator request it, and also it will increase RAN4 workload. Instead it depends on whether the switching capability is present for a certain band combination. </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s="Arial"/>
          <w:sz w:val="20"/>
          <w:szCs w:val="20"/>
          <w:lang w:val="en-US" w:eastAsia="zh-CN"/>
        </w:rPr>
      </w:pPr>
      <w:r>
        <w:rPr>
          <w:rFonts w:hint="eastAsia" w:eastAsia="宋体" w:cs="Arial"/>
          <w:sz w:val="20"/>
          <w:szCs w:val="20"/>
          <w:lang w:val="en-US" w:eastAsia="zh-CN"/>
        </w:rPr>
        <w:t xml:space="preserve">In addition to that, it seems the work for basket WID approach for band combination supporting downlink carrier switching </w:t>
      </w:r>
      <w:r>
        <w:rPr>
          <w:rFonts w:hint="eastAsia" w:cs="Arial"/>
          <w:sz w:val="20"/>
          <w:szCs w:val="20"/>
          <w:lang w:val="en-US" w:eastAsia="zh-CN"/>
        </w:rPr>
        <w:t xml:space="preserve">would overlap/conflict with the normal PC3/HPUE basket WID since the MSD work may be needed for a band combination introduced via </w:t>
      </w:r>
      <w:r>
        <w:rPr>
          <w:rFonts w:hint="eastAsia" w:eastAsia="宋体" w:cs="Arial"/>
          <w:sz w:val="20"/>
          <w:szCs w:val="20"/>
          <w:lang w:val="en-US" w:eastAsia="zh-CN"/>
        </w:rPr>
        <w:t>carrier switching</w:t>
      </w:r>
      <w:r>
        <w:rPr>
          <w:rFonts w:hint="eastAsia" w:cs="Arial"/>
          <w:sz w:val="20"/>
          <w:szCs w:val="20"/>
          <w:lang w:val="en-US" w:eastAsia="zh-CN"/>
        </w:rPr>
        <w:t xml:space="preserve"> </w:t>
      </w:r>
      <w:r>
        <w:rPr>
          <w:rFonts w:hint="eastAsia" w:eastAsia="宋体" w:cs="Arial"/>
          <w:sz w:val="20"/>
          <w:szCs w:val="20"/>
          <w:lang w:val="en-US" w:eastAsia="zh-CN"/>
        </w:rPr>
        <w:t>basket WID</w:t>
      </w:r>
      <w:r>
        <w:rPr>
          <w:rFonts w:hint="eastAsia" w:cs="Arial"/>
          <w:sz w:val="20"/>
          <w:szCs w:val="20"/>
          <w:lang w:val="en-US" w:eastAsia="zh-CN"/>
        </w:rPr>
        <w:t>, but in general, such MSD work is discussed in the normal PC3/HPUE basket WID.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Arial"/>
          <w:sz w:val="20"/>
          <w:szCs w:val="20"/>
          <w:lang w:val="en-US" w:eastAsia="zh-CN"/>
        </w:rPr>
      </w:pPr>
      <w:r>
        <w:rPr>
          <w:rFonts w:hint="eastAsia" w:cs="Arial"/>
          <w:sz w:val="20"/>
          <w:szCs w:val="20"/>
          <w:lang w:val="en-US" w:eastAsia="zh-CN"/>
        </w:rPr>
        <w:t xml:space="preserve">Moreover, when downlink carrier switching happens, whether the UL </w:t>
      </w:r>
      <w:r>
        <w:rPr>
          <w:sz w:val="20"/>
        </w:rPr>
        <w:t>interruption</w:t>
      </w:r>
      <w:r>
        <w:rPr>
          <w:rFonts w:hint="eastAsia"/>
          <w:sz w:val="20"/>
          <w:lang w:val="en-US" w:eastAsia="zh-CN"/>
        </w:rPr>
        <w:t xml:space="preserve"> is allowed should be defined per band combination.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s="Arial"/>
          <w:sz w:val="20"/>
          <w:szCs w:val="20"/>
          <w:lang w:val="en-US" w:eastAsia="zh-CN"/>
        </w:rPr>
      </w:pPr>
      <w:r>
        <w:rPr>
          <w:rFonts w:hint="eastAsia" w:cs="Arial"/>
          <w:sz w:val="20"/>
          <w:szCs w:val="20"/>
          <w:lang w:val="en-US" w:eastAsia="zh-CN"/>
        </w:rPr>
        <w:t>Therefore, we think RAN4 should try to define generic downlink carrier switching requirements for all the band combinations, rather than defining band combination specified requirements.</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b/>
          <w:bCs/>
          <w:sz w:val="20"/>
          <w:szCs w:val="20"/>
          <w:lang w:val="en-US" w:eastAsia="zh-CN"/>
        </w:rPr>
      </w:pPr>
      <w:r>
        <w:rPr>
          <w:rFonts w:hint="eastAsia" w:eastAsia="等线" w:cs="Times New Roman"/>
          <w:b/>
          <w:bCs/>
          <w:sz w:val="20"/>
          <w:szCs w:val="20"/>
          <w:lang w:val="en-US" w:eastAsia="zh-CN"/>
        </w:rPr>
        <w:t xml:space="preserve">Observation 2. No band combination tables for Tx switching are included in the spec, instead it depends on whether the switching capability is present for a certain band combination. </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Arial"/>
          <w:szCs w:val="18"/>
          <w:lang w:val="en-US" w:eastAsia="zh-CN"/>
        </w:rPr>
      </w:pPr>
      <w:r>
        <w:rPr>
          <w:rFonts w:hint="eastAsia" w:eastAsia="等线" w:cs="Times New Roman"/>
          <w:b/>
          <w:bCs/>
          <w:sz w:val="20"/>
          <w:szCs w:val="20"/>
          <w:lang w:val="en-US" w:eastAsia="zh-CN" w:bidi="ar-SA"/>
        </w:rPr>
        <w:t>Proposal 8: RAN4 should try to define generic downlink carrier switching requirements, rather than band combination specified requirements.</w:t>
      </w:r>
      <w:r>
        <w:rPr>
          <w:rFonts w:hint="eastAsia" w:eastAsia="宋体" w:cs="Arial"/>
          <w:sz w:val="20"/>
          <w:szCs w:val="20"/>
          <w:lang w:val="en-US" w:eastAsia="zh-CN"/>
        </w:rPr>
        <w:t xml:space="preserve"> </w:t>
      </w:r>
    </w:p>
    <w:bookmarkEnd w:id="10"/>
    <w:bookmarkEnd w:id="11"/>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initial discussion on the downlink carrier switching to enable low-low band CA band combination.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rFonts w:hint="eastAsia"/>
          <w:bCs/>
          <w:kern w:val="0"/>
          <w:sz w:val="21"/>
          <w:szCs w:val="21"/>
          <w:highlight w:val="none"/>
          <w:lang w:val="en-US" w:eastAsia="zh-CN"/>
        </w:rPr>
        <w:t>The observations, proposals and conclusions are:</w:t>
      </w:r>
    </w:p>
    <w:p>
      <w:pPr>
        <w:keepNext w:val="0"/>
        <w:keepLines w:val="0"/>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rFonts w:hint="eastAsia" w:eastAsia="等线" w:cs="Times New Roman"/>
          <w:b/>
          <w:bCs/>
          <w:sz w:val="20"/>
          <w:szCs w:val="20"/>
          <w:lang w:val="en-US" w:eastAsia="zh-CN" w:bidi="ar-SA"/>
        </w:rPr>
        <w:t>Observation 1.There is no need to consider the downlink carrier switching for separated antennas implementations for low-low CA band combination.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b/>
          <w:bCs/>
          <w:sz w:val="20"/>
          <w:szCs w:val="20"/>
          <w:lang w:val="en-US" w:eastAsia="zh-CN"/>
        </w:rPr>
      </w:pPr>
      <w:r>
        <w:rPr>
          <w:rFonts w:hint="eastAsia" w:eastAsia="等线" w:cs="Times New Roman"/>
          <w:b/>
          <w:bCs/>
          <w:sz w:val="20"/>
          <w:szCs w:val="20"/>
          <w:lang w:val="en-US" w:eastAsia="zh-CN"/>
        </w:rPr>
        <w:t xml:space="preserve">Observation 2. No band combination tables for Tx switching are included in the spec, instead it depends on whether the switching capability is present for a certain band combination. </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b/>
          <w:bCs/>
          <w:sz w:val="20"/>
          <w:szCs w:val="20"/>
          <w:lang w:val="en-US" w:eastAsia="zh-CN" w:bidi="ar-SA"/>
        </w:rPr>
      </w:pPr>
      <w:r>
        <w:rPr>
          <w:rFonts w:hint="eastAsia" w:eastAsia="等线" w:cs="Times New Roman"/>
          <w:b/>
          <w:bCs/>
          <w:sz w:val="20"/>
          <w:szCs w:val="20"/>
          <w:lang w:val="en-US" w:eastAsia="zh-CN" w:bidi="ar-SA"/>
        </w:rPr>
        <w:t>Proposal 1. New capability is needed to indicate whether UE supports downlink carrier switching.</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sz w:val="20"/>
          <w:szCs w:val="20"/>
          <w:lang w:val="en-US" w:eastAsia="zh-CN" w:bidi="ar-SA"/>
        </w:rPr>
      </w:pPr>
      <w:r>
        <w:rPr>
          <w:rFonts w:hint="eastAsia" w:eastAsia="等线" w:cs="Times New Roman"/>
          <w:b/>
          <w:bCs/>
          <w:sz w:val="20"/>
          <w:szCs w:val="20"/>
          <w:lang w:val="en-US" w:eastAsia="zh-CN" w:bidi="ar-SA"/>
        </w:rPr>
        <w:t>Proposal 2. To use 35us, 140us, and 210us as baseline for the switching period, and a</w:t>
      </w:r>
      <w:r>
        <w:rPr>
          <w:rFonts w:hint="default" w:eastAsia="等线" w:cs="Times New Roman"/>
          <w:b/>
          <w:bCs/>
          <w:sz w:val="20"/>
          <w:szCs w:val="20"/>
          <w:lang w:val="en-US" w:eastAsia="zh-CN" w:bidi="ar-SA"/>
        </w:rPr>
        <w:t xml:space="preserve"> n</w:t>
      </w:r>
      <w:r>
        <w:rPr>
          <w:rFonts w:hint="eastAsia" w:eastAsia="等线" w:cs="Times New Roman"/>
          <w:b/>
          <w:bCs/>
          <w:sz w:val="20"/>
          <w:szCs w:val="20"/>
          <w:lang w:val="en-US" w:eastAsia="zh-CN" w:bidi="ar-SA"/>
        </w:rPr>
        <w:t>ew capability for downlink carrier switching period should be defined accordingly.</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等线" w:cs="Times New Roman"/>
          <w:b/>
          <w:bCs/>
          <w:iCs w:val="0"/>
          <w:sz w:val="20"/>
          <w:lang w:val="en-US" w:eastAsia="zh-CN"/>
        </w:rPr>
      </w:pPr>
      <w:r>
        <w:rPr>
          <w:rFonts w:hint="eastAsia" w:eastAsia="等线" w:cs="Times New Roman"/>
          <w:b/>
          <w:bCs/>
          <w:sz w:val="20"/>
          <w:szCs w:val="20"/>
          <w:lang w:val="en-US" w:eastAsia="zh-CN" w:bidi="ar-SA"/>
        </w:rPr>
        <w:t>Proposal 3. As baseline UE assumption, neither of the two carriers is expected to be used for receiving during the switching period.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sz w:val="20"/>
          <w:lang w:val="en-US" w:eastAsia="zh-CN" w:bidi="ar-SA"/>
        </w:rPr>
      </w:pPr>
      <w:r>
        <w:rPr>
          <w:rFonts w:hint="eastAsia" w:eastAsia="等线" w:cs="Times New Roman"/>
          <w:b/>
          <w:bCs/>
          <w:sz w:val="20"/>
          <w:szCs w:val="20"/>
          <w:lang w:val="en-US" w:eastAsia="zh-CN" w:bidi="ar-SA"/>
        </w:rPr>
        <w:t>Proposal 4. O</w:t>
      </w:r>
      <w:r>
        <w:rPr>
          <w:rFonts w:hint="eastAsia" w:eastAsia="等线" w:cs="Times New Roman"/>
          <w:b/>
          <w:bCs/>
          <w:sz w:val="20"/>
          <w:lang w:val="en-US" w:eastAsia="zh-CN" w:bidi="ar-SA"/>
        </w:rPr>
        <w:t>nly switchedDL option can be considered for low-low CA downlink carrier switching in this WID.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bCs/>
          <w:i/>
          <w:sz w:val="20"/>
          <w:szCs w:val="20"/>
          <w:lang w:val="en-US" w:eastAsia="zh-CN"/>
        </w:rPr>
      </w:pPr>
      <w:r>
        <w:rPr>
          <w:rFonts w:hint="eastAsia"/>
          <w:b/>
          <w:bCs/>
          <w:sz w:val="20"/>
          <w:szCs w:val="20"/>
          <w:lang w:val="en-US" w:eastAsia="zh-CN"/>
        </w:rPr>
        <w:t>Proposal 6. I</w:t>
      </w:r>
      <w:r>
        <w:rPr>
          <w:b/>
          <w:bCs/>
          <w:sz w:val="20"/>
          <w:szCs w:val="20"/>
          <w:lang w:eastAsia="zh-CN"/>
        </w:rPr>
        <w:t xml:space="preserve">f there is no </w:t>
      </w:r>
      <w:r>
        <w:rPr>
          <w:rFonts w:hint="eastAsia"/>
          <w:b/>
          <w:bCs/>
          <w:sz w:val="20"/>
          <w:szCs w:val="20"/>
          <w:lang w:val="en-US" w:eastAsia="zh-CN"/>
        </w:rPr>
        <w:t xml:space="preserve">downlink receive </w:t>
      </w:r>
      <w:r>
        <w:rPr>
          <w:b/>
          <w:bCs/>
          <w:sz w:val="20"/>
          <w:szCs w:val="20"/>
          <w:lang w:eastAsia="zh-CN"/>
        </w:rPr>
        <w:t xml:space="preserve">scheduled or configured on the switch-from carrier for at least the duration of the switching period (X µs) before the point in time the UE is scheduled or configured to start the </w:t>
      </w:r>
      <w:r>
        <w:rPr>
          <w:rFonts w:hint="eastAsia"/>
          <w:b/>
          <w:bCs/>
          <w:sz w:val="20"/>
          <w:szCs w:val="20"/>
          <w:lang w:val="en-US" w:eastAsia="zh-CN"/>
        </w:rPr>
        <w:t xml:space="preserve">receive </w:t>
      </w:r>
      <w:r>
        <w:rPr>
          <w:b/>
          <w:bCs/>
          <w:sz w:val="20"/>
          <w:szCs w:val="20"/>
          <w:lang w:eastAsia="zh-CN"/>
        </w:rPr>
        <w:t xml:space="preserve">on the switch-to carrier, the switching period is fully contained in the time period between the end of the </w:t>
      </w:r>
      <w:r>
        <w:rPr>
          <w:rFonts w:hint="eastAsia"/>
          <w:b/>
          <w:bCs/>
          <w:sz w:val="20"/>
          <w:szCs w:val="20"/>
          <w:lang w:val="en-US" w:eastAsia="zh-CN"/>
        </w:rPr>
        <w:t xml:space="preserve">receive </w:t>
      </w:r>
      <w:r>
        <w:rPr>
          <w:b/>
          <w:bCs/>
          <w:sz w:val="20"/>
          <w:szCs w:val="20"/>
          <w:lang w:eastAsia="zh-CN"/>
        </w:rPr>
        <w:t xml:space="preserve">on the switch-from carrier and the start of the </w:t>
      </w:r>
      <w:r>
        <w:rPr>
          <w:rFonts w:hint="eastAsia"/>
          <w:b/>
          <w:bCs/>
          <w:sz w:val="20"/>
          <w:szCs w:val="20"/>
          <w:lang w:val="en-US" w:eastAsia="zh-CN"/>
        </w:rPr>
        <w:t xml:space="preserve">receive </w:t>
      </w:r>
      <w:r>
        <w:rPr>
          <w:b/>
          <w:bCs/>
          <w:sz w:val="20"/>
          <w:szCs w:val="20"/>
          <w:lang w:eastAsia="zh-CN"/>
        </w:rPr>
        <w:t>on the switch-to carrier.</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kern w:val="2"/>
          <w:sz w:val="20"/>
          <w:szCs w:val="20"/>
          <w:lang w:val="en-US" w:eastAsia="zh-CN" w:bidi="ar-SA"/>
        </w:rPr>
      </w:pPr>
      <w:r>
        <w:rPr>
          <w:rFonts w:hint="eastAsia" w:eastAsia="等线" w:cs="Times New Roman"/>
          <w:b/>
          <w:bCs/>
          <w:sz w:val="20"/>
          <w:szCs w:val="20"/>
          <w:lang w:val="en-US" w:eastAsia="zh-CN" w:bidi="ar-SA"/>
        </w:rPr>
        <w:t>Proposal 7: Beside</w:t>
      </w:r>
      <w:r>
        <w:rPr>
          <w:rFonts w:hint="eastAsia" w:cs="Times New Roman"/>
          <w:b/>
          <w:bCs/>
          <w:sz w:val="20"/>
          <w:szCs w:val="20"/>
          <w:lang w:val="en-US" w:eastAsia="zh-CN"/>
        </w:rPr>
        <w:t xml:space="preserve"> the default UE behaviors, </w:t>
      </w:r>
      <w:r>
        <w:rPr>
          <w:rFonts w:hint="eastAsia" w:cs="Times New Roman"/>
          <w:b/>
          <w:bCs/>
          <w:kern w:val="2"/>
          <w:sz w:val="20"/>
          <w:szCs w:val="20"/>
          <w:lang w:val="en-US" w:eastAsia="zh-CN" w:bidi="ar-SA"/>
        </w:rPr>
        <w:t>some optional advanced UE features can be considered, which needs to be further discussed.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kern w:val="2"/>
          <w:sz w:val="20"/>
          <w:szCs w:val="20"/>
          <w:lang w:val="en-US" w:eastAsia="zh-CN" w:bidi="ar-SA"/>
        </w:rPr>
      </w:pPr>
      <w:r>
        <w:rPr>
          <w:rFonts w:hint="eastAsia" w:eastAsia="等线" w:cs="Times New Roman"/>
          <w:b/>
          <w:bCs/>
          <w:sz w:val="20"/>
          <w:szCs w:val="20"/>
          <w:lang w:val="en-US" w:eastAsia="zh-CN" w:bidi="ar-SA"/>
        </w:rPr>
        <w:t>Proposal 8: RAN4 should try to define generic downlink carrier switching requirements, rather than band combination specified requirements.</w:t>
      </w:r>
      <w:r>
        <w:rPr>
          <w:rFonts w:hint="eastAsia" w:eastAsia="宋体" w:cs="Arial"/>
          <w:sz w:val="20"/>
          <w:szCs w:val="20"/>
          <w:lang w:val="en-US" w:eastAsia="zh-CN"/>
        </w:rPr>
        <w:t xml:space="preserve"> </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sz w:val="20"/>
          <w:szCs w:val="20"/>
          <w:lang w:val="en-US" w:eastAsia="zh-CN"/>
        </w:rPr>
      </w:pPr>
      <w:r>
        <w:rPr>
          <w:rFonts w:hint="eastAsia"/>
          <w:sz w:val="20"/>
          <w:szCs w:val="20"/>
          <w:lang w:val="en-US" w:eastAsia="zh-CN"/>
        </w:rPr>
        <w:t xml:space="preserve">[1] </w:t>
      </w:r>
      <w:bookmarkStart w:id="12" w:name="OLE_LINK2"/>
      <w:r>
        <w:rPr>
          <w:rFonts w:hint="default"/>
          <w:sz w:val="20"/>
          <w:szCs w:val="20"/>
          <w:lang w:val="en-US" w:eastAsia="en-GB"/>
        </w:rPr>
        <w:t>RP-243317</w:t>
      </w:r>
      <w:r>
        <w:rPr>
          <w:rFonts w:hint="eastAsia"/>
          <w:sz w:val="20"/>
          <w:szCs w:val="20"/>
          <w:lang w:val="en-US" w:eastAsia="zh-CN"/>
        </w:rPr>
        <w:t>,</w:t>
      </w:r>
      <w:r>
        <w:rPr>
          <w:rFonts w:hint="default"/>
          <w:sz w:val="20"/>
          <w:szCs w:val="20"/>
          <w:lang w:val="en-US" w:eastAsia="zh-CN"/>
        </w:rPr>
        <w:t>New WID on low band carrier aggregation via switching</w:t>
      </w:r>
      <w:r>
        <w:rPr>
          <w:rFonts w:hint="eastAsia"/>
          <w:sz w:val="20"/>
          <w:szCs w:val="20"/>
          <w:lang w:val="en-US" w:eastAsia="zh-CN"/>
        </w:rPr>
        <w:t>, Apple, and etc.</w:t>
      </w:r>
      <w:bookmarkEnd w:id="12"/>
    </w:p>
    <w:p>
      <w:pPr>
        <w:pStyle w:val="74"/>
        <w:framePr w:wrap="auto" w:vAnchor="margin" w:hAnchor="text" w:yAlign="inline"/>
        <w:wordWrap/>
        <w:jc w:val="left"/>
        <w:rPr>
          <w:rFonts w:hint="default" w:ascii="Times New Roman" w:hAnsi="Times New Roman" w:eastAsia="宋体" w:cs="Times New Roman"/>
          <w:b w:val="0"/>
          <w:kern w:val="2"/>
          <w:sz w:val="20"/>
          <w:szCs w:val="20"/>
          <w:lang w:val="en-US" w:eastAsia="zh-CN" w:bidi="ar-SA"/>
        </w:rPr>
      </w:pPr>
      <w:r>
        <w:rPr>
          <w:rFonts w:hint="eastAsia" w:ascii="Times New Roman" w:hAnsi="Times New Roman" w:eastAsia="宋体" w:cs="Times New Roman"/>
          <w:b w:val="0"/>
          <w:kern w:val="2"/>
          <w:sz w:val="20"/>
          <w:szCs w:val="20"/>
          <w:lang w:val="en-US" w:eastAsia="zh-CN" w:bidi="ar-SA"/>
        </w:rPr>
        <w:t>[2] TR38.872, Study on e</w:t>
      </w:r>
      <w:r>
        <w:rPr>
          <w:rFonts w:hint="default" w:ascii="Times New Roman" w:hAnsi="Times New Roman" w:eastAsia="宋体" w:cs="Times New Roman"/>
          <w:b w:val="0"/>
          <w:kern w:val="2"/>
          <w:sz w:val="20"/>
          <w:szCs w:val="20"/>
          <w:lang w:val="en-US" w:eastAsia="zh-CN" w:bidi="ar-SA"/>
        </w:rPr>
        <w:t>nhancement for 700/800/900MHz band combinations</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sz w:val="20"/>
          <w:szCs w:val="20"/>
          <w:lang w:val="en-US" w:eastAsia="zh-TW"/>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A6E"/>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6E8D"/>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055BA"/>
    <w:rsid w:val="00610622"/>
    <w:rsid w:val="00610E84"/>
    <w:rsid w:val="00613622"/>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06AF9"/>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2667C"/>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779F"/>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009E"/>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67499"/>
    <w:rsid w:val="00C75C5D"/>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646D7"/>
    <w:rsid w:val="011A0B49"/>
    <w:rsid w:val="01412F9D"/>
    <w:rsid w:val="014A0623"/>
    <w:rsid w:val="014C67F3"/>
    <w:rsid w:val="01536583"/>
    <w:rsid w:val="01572FC3"/>
    <w:rsid w:val="015D5596"/>
    <w:rsid w:val="016C6BB5"/>
    <w:rsid w:val="01764F01"/>
    <w:rsid w:val="01773BF8"/>
    <w:rsid w:val="01797025"/>
    <w:rsid w:val="017D1AFD"/>
    <w:rsid w:val="018107C9"/>
    <w:rsid w:val="01854FE9"/>
    <w:rsid w:val="018E0802"/>
    <w:rsid w:val="018E207B"/>
    <w:rsid w:val="0190283E"/>
    <w:rsid w:val="019833BF"/>
    <w:rsid w:val="019D155B"/>
    <w:rsid w:val="01A428BB"/>
    <w:rsid w:val="01AA53CD"/>
    <w:rsid w:val="01AE307F"/>
    <w:rsid w:val="01B35169"/>
    <w:rsid w:val="01BA1962"/>
    <w:rsid w:val="01C00B7B"/>
    <w:rsid w:val="01C43576"/>
    <w:rsid w:val="01C940D5"/>
    <w:rsid w:val="01CA5EE6"/>
    <w:rsid w:val="01D441F8"/>
    <w:rsid w:val="01D46B8D"/>
    <w:rsid w:val="01D866D8"/>
    <w:rsid w:val="01EE2663"/>
    <w:rsid w:val="01FB366B"/>
    <w:rsid w:val="01FD3930"/>
    <w:rsid w:val="01FE3350"/>
    <w:rsid w:val="02036722"/>
    <w:rsid w:val="02102371"/>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A7312"/>
    <w:rsid w:val="028F64C2"/>
    <w:rsid w:val="028F6D4C"/>
    <w:rsid w:val="0291553A"/>
    <w:rsid w:val="029A69A7"/>
    <w:rsid w:val="029B04E7"/>
    <w:rsid w:val="02A64DF3"/>
    <w:rsid w:val="02BB5A8C"/>
    <w:rsid w:val="02C2332C"/>
    <w:rsid w:val="02CD2724"/>
    <w:rsid w:val="02DC3F9C"/>
    <w:rsid w:val="02DC73AA"/>
    <w:rsid w:val="02E015BB"/>
    <w:rsid w:val="02EC257A"/>
    <w:rsid w:val="02F12CE4"/>
    <w:rsid w:val="02F87E96"/>
    <w:rsid w:val="03073BDC"/>
    <w:rsid w:val="030B0647"/>
    <w:rsid w:val="030C40C1"/>
    <w:rsid w:val="031C15A9"/>
    <w:rsid w:val="03206AD1"/>
    <w:rsid w:val="03362153"/>
    <w:rsid w:val="03445E8F"/>
    <w:rsid w:val="035154D3"/>
    <w:rsid w:val="03527C38"/>
    <w:rsid w:val="035402E6"/>
    <w:rsid w:val="0356746F"/>
    <w:rsid w:val="03746F87"/>
    <w:rsid w:val="037C4E46"/>
    <w:rsid w:val="03814F5B"/>
    <w:rsid w:val="038B3141"/>
    <w:rsid w:val="03966EAF"/>
    <w:rsid w:val="03A73C79"/>
    <w:rsid w:val="03A77DFA"/>
    <w:rsid w:val="03AB0B27"/>
    <w:rsid w:val="03B339B1"/>
    <w:rsid w:val="03C05350"/>
    <w:rsid w:val="03C1287B"/>
    <w:rsid w:val="03C36B0E"/>
    <w:rsid w:val="03CF67FA"/>
    <w:rsid w:val="03D047A4"/>
    <w:rsid w:val="03DF17D9"/>
    <w:rsid w:val="03E358F3"/>
    <w:rsid w:val="03E84DE8"/>
    <w:rsid w:val="04030035"/>
    <w:rsid w:val="040A1194"/>
    <w:rsid w:val="04251A4C"/>
    <w:rsid w:val="042D2E97"/>
    <w:rsid w:val="04305EA0"/>
    <w:rsid w:val="043865BF"/>
    <w:rsid w:val="044657E5"/>
    <w:rsid w:val="044C78D8"/>
    <w:rsid w:val="04537B11"/>
    <w:rsid w:val="0457028C"/>
    <w:rsid w:val="04684A28"/>
    <w:rsid w:val="04730C2E"/>
    <w:rsid w:val="04782230"/>
    <w:rsid w:val="0479507E"/>
    <w:rsid w:val="04820023"/>
    <w:rsid w:val="04894975"/>
    <w:rsid w:val="048D0C34"/>
    <w:rsid w:val="04B14B03"/>
    <w:rsid w:val="04C21954"/>
    <w:rsid w:val="04DA1A87"/>
    <w:rsid w:val="04DE2DA3"/>
    <w:rsid w:val="04FF1C94"/>
    <w:rsid w:val="04FF7D5A"/>
    <w:rsid w:val="0502349F"/>
    <w:rsid w:val="050E7487"/>
    <w:rsid w:val="051126EC"/>
    <w:rsid w:val="05161D2D"/>
    <w:rsid w:val="0522500E"/>
    <w:rsid w:val="052E568F"/>
    <w:rsid w:val="053973F0"/>
    <w:rsid w:val="053E65E7"/>
    <w:rsid w:val="0555228E"/>
    <w:rsid w:val="055C5454"/>
    <w:rsid w:val="05705DB7"/>
    <w:rsid w:val="05742B1B"/>
    <w:rsid w:val="05770104"/>
    <w:rsid w:val="057D1D66"/>
    <w:rsid w:val="059A6453"/>
    <w:rsid w:val="059D265F"/>
    <w:rsid w:val="05B16FE4"/>
    <w:rsid w:val="05B2756C"/>
    <w:rsid w:val="05B421E3"/>
    <w:rsid w:val="05B92EC1"/>
    <w:rsid w:val="05D03328"/>
    <w:rsid w:val="05E078B3"/>
    <w:rsid w:val="05E84F40"/>
    <w:rsid w:val="0601277E"/>
    <w:rsid w:val="060C5AED"/>
    <w:rsid w:val="06103146"/>
    <w:rsid w:val="06107BD8"/>
    <w:rsid w:val="06172561"/>
    <w:rsid w:val="06190837"/>
    <w:rsid w:val="061E54DA"/>
    <w:rsid w:val="061E5E22"/>
    <w:rsid w:val="06212672"/>
    <w:rsid w:val="06254DA5"/>
    <w:rsid w:val="06415503"/>
    <w:rsid w:val="06460B91"/>
    <w:rsid w:val="0654187C"/>
    <w:rsid w:val="065475DE"/>
    <w:rsid w:val="065D586C"/>
    <w:rsid w:val="06725291"/>
    <w:rsid w:val="06760DBE"/>
    <w:rsid w:val="067C28D6"/>
    <w:rsid w:val="068E06BC"/>
    <w:rsid w:val="069201CB"/>
    <w:rsid w:val="06A03E91"/>
    <w:rsid w:val="06A27E98"/>
    <w:rsid w:val="06AB7C30"/>
    <w:rsid w:val="06B741D9"/>
    <w:rsid w:val="06C457B6"/>
    <w:rsid w:val="06C55827"/>
    <w:rsid w:val="06CD4A70"/>
    <w:rsid w:val="06DF4C13"/>
    <w:rsid w:val="06E22BD9"/>
    <w:rsid w:val="06E7678C"/>
    <w:rsid w:val="06EC4A95"/>
    <w:rsid w:val="06F42A88"/>
    <w:rsid w:val="06F801C0"/>
    <w:rsid w:val="06F90600"/>
    <w:rsid w:val="06FB38AA"/>
    <w:rsid w:val="070F28B2"/>
    <w:rsid w:val="071C13A8"/>
    <w:rsid w:val="073D143C"/>
    <w:rsid w:val="07472F26"/>
    <w:rsid w:val="074855FD"/>
    <w:rsid w:val="074A1304"/>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E52B9"/>
    <w:rsid w:val="07D36E39"/>
    <w:rsid w:val="07D57946"/>
    <w:rsid w:val="07ED524D"/>
    <w:rsid w:val="080124E3"/>
    <w:rsid w:val="080C7FA0"/>
    <w:rsid w:val="081E4B5F"/>
    <w:rsid w:val="08341060"/>
    <w:rsid w:val="0850455A"/>
    <w:rsid w:val="08572CF7"/>
    <w:rsid w:val="085C7468"/>
    <w:rsid w:val="08610ACC"/>
    <w:rsid w:val="086F6B40"/>
    <w:rsid w:val="08787FF0"/>
    <w:rsid w:val="0889002B"/>
    <w:rsid w:val="088E1335"/>
    <w:rsid w:val="08A44DA6"/>
    <w:rsid w:val="08A65D3D"/>
    <w:rsid w:val="08AA245A"/>
    <w:rsid w:val="08B96F5C"/>
    <w:rsid w:val="08BA6E24"/>
    <w:rsid w:val="08C447C3"/>
    <w:rsid w:val="08C562FD"/>
    <w:rsid w:val="08CA27B1"/>
    <w:rsid w:val="08CF6F01"/>
    <w:rsid w:val="08D5688C"/>
    <w:rsid w:val="08E916DF"/>
    <w:rsid w:val="08EA2FAE"/>
    <w:rsid w:val="08FC0AA5"/>
    <w:rsid w:val="090165D1"/>
    <w:rsid w:val="09066782"/>
    <w:rsid w:val="09127E2C"/>
    <w:rsid w:val="091C6B81"/>
    <w:rsid w:val="09306537"/>
    <w:rsid w:val="09355076"/>
    <w:rsid w:val="09392119"/>
    <w:rsid w:val="09445E95"/>
    <w:rsid w:val="09543B3B"/>
    <w:rsid w:val="09600FBD"/>
    <w:rsid w:val="096D5B06"/>
    <w:rsid w:val="096F346B"/>
    <w:rsid w:val="098143BC"/>
    <w:rsid w:val="099937EB"/>
    <w:rsid w:val="09B236ED"/>
    <w:rsid w:val="09B3627A"/>
    <w:rsid w:val="09BD407A"/>
    <w:rsid w:val="09CE25B1"/>
    <w:rsid w:val="09DA0E26"/>
    <w:rsid w:val="09E55691"/>
    <w:rsid w:val="09F50235"/>
    <w:rsid w:val="09F67CD5"/>
    <w:rsid w:val="0A0835C8"/>
    <w:rsid w:val="0A117603"/>
    <w:rsid w:val="0A145721"/>
    <w:rsid w:val="0A1F5AD1"/>
    <w:rsid w:val="0A3708FF"/>
    <w:rsid w:val="0A376B34"/>
    <w:rsid w:val="0A3A5FEA"/>
    <w:rsid w:val="0A3B01F9"/>
    <w:rsid w:val="0A3F0488"/>
    <w:rsid w:val="0A3F2600"/>
    <w:rsid w:val="0A402A36"/>
    <w:rsid w:val="0A4E6531"/>
    <w:rsid w:val="0A646846"/>
    <w:rsid w:val="0A721B30"/>
    <w:rsid w:val="0A7871E0"/>
    <w:rsid w:val="0A927E67"/>
    <w:rsid w:val="0A9B1B16"/>
    <w:rsid w:val="0A9D2D7E"/>
    <w:rsid w:val="0A9E3D3D"/>
    <w:rsid w:val="0AA077E0"/>
    <w:rsid w:val="0AC0212C"/>
    <w:rsid w:val="0ACB2C6F"/>
    <w:rsid w:val="0ACE7EE0"/>
    <w:rsid w:val="0AD24293"/>
    <w:rsid w:val="0AD542C1"/>
    <w:rsid w:val="0AD862F0"/>
    <w:rsid w:val="0ADD5A20"/>
    <w:rsid w:val="0ADD764B"/>
    <w:rsid w:val="0AE10FD9"/>
    <w:rsid w:val="0AF13898"/>
    <w:rsid w:val="0AFB3228"/>
    <w:rsid w:val="0AFC6C07"/>
    <w:rsid w:val="0B062019"/>
    <w:rsid w:val="0B0F025C"/>
    <w:rsid w:val="0B0F0DA6"/>
    <w:rsid w:val="0B13439A"/>
    <w:rsid w:val="0B1A6333"/>
    <w:rsid w:val="0B20514C"/>
    <w:rsid w:val="0B2713F4"/>
    <w:rsid w:val="0B3D701F"/>
    <w:rsid w:val="0B3E7DD7"/>
    <w:rsid w:val="0B514A22"/>
    <w:rsid w:val="0B561995"/>
    <w:rsid w:val="0B5C2C2A"/>
    <w:rsid w:val="0B665E0A"/>
    <w:rsid w:val="0B8436DD"/>
    <w:rsid w:val="0B847B39"/>
    <w:rsid w:val="0B9E71DF"/>
    <w:rsid w:val="0BB318ED"/>
    <w:rsid w:val="0BB524B8"/>
    <w:rsid w:val="0BC22C8E"/>
    <w:rsid w:val="0BC63DB2"/>
    <w:rsid w:val="0BCC4043"/>
    <w:rsid w:val="0BCC4B6A"/>
    <w:rsid w:val="0BEB51A2"/>
    <w:rsid w:val="0BFF2578"/>
    <w:rsid w:val="0C1428F7"/>
    <w:rsid w:val="0C1D11D3"/>
    <w:rsid w:val="0C1E494F"/>
    <w:rsid w:val="0C3427D0"/>
    <w:rsid w:val="0C355A20"/>
    <w:rsid w:val="0C4303AB"/>
    <w:rsid w:val="0C43327D"/>
    <w:rsid w:val="0C441A2C"/>
    <w:rsid w:val="0C4426AF"/>
    <w:rsid w:val="0C4577EC"/>
    <w:rsid w:val="0C4F1BEB"/>
    <w:rsid w:val="0C526355"/>
    <w:rsid w:val="0C572706"/>
    <w:rsid w:val="0C5C6396"/>
    <w:rsid w:val="0C6322E0"/>
    <w:rsid w:val="0C650A20"/>
    <w:rsid w:val="0C6E11B8"/>
    <w:rsid w:val="0C723CD1"/>
    <w:rsid w:val="0C9A0AA5"/>
    <w:rsid w:val="0CA46DE6"/>
    <w:rsid w:val="0CA5404F"/>
    <w:rsid w:val="0CA6624D"/>
    <w:rsid w:val="0CAD5BD8"/>
    <w:rsid w:val="0CB66F5F"/>
    <w:rsid w:val="0CB752EB"/>
    <w:rsid w:val="0CB94808"/>
    <w:rsid w:val="0CBD16F5"/>
    <w:rsid w:val="0CC37BC2"/>
    <w:rsid w:val="0CD87ABE"/>
    <w:rsid w:val="0CE26C42"/>
    <w:rsid w:val="0CE76B48"/>
    <w:rsid w:val="0CF62FDB"/>
    <w:rsid w:val="0CFB523A"/>
    <w:rsid w:val="0CFE37EB"/>
    <w:rsid w:val="0D013BBD"/>
    <w:rsid w:val="0D226E9B"/>
    <w:rsid w:val="0D277AA0"/>
    <w:rsid w:val="0D3F09CA"/>
    <w:rsid w:val="0D4B44A1"/>
    <w:rsid w:val="0D5A3E80"/>
    <w:rsid w:val="0D6851E9"/>
    <w:rsid w:val="0D6E2620"/>
    <w:rsid w:val="0D704E21"/>
    <w:rsid w:val="0D7F48FE"/>
    <w:rsid w:val="0D811433"/>
    <w:rsid w:val="0D883C88"/>
    <w:rsid w:val="0D92310D"/>
    <w:rsid w:val="0D960D3E"/>
    <w:rsid w:val="0D966BF7"/>
    <w:rsid w:val="0DBC1618"/>
    <w:rsid w:val="0DC37A73"/>
    <w:rsid w:val="0DCC3AE8"/>
    <w:rsid w:val="0DD87842"/>
    <w:rsid w:val="0DF202E1"/>
    <w:rsid w:val="0DF53CE3"/>
    <w:rsid w:val="0E0961C5"/>
    <w:rsid w:val="0E131C69"/>
    <w:rsid w:val="0E147898"/>
    <w:rsid w:val="0E1F0038"/>
    <w:rsid w:val="0E273C25"/>
    <w:rsid w:val="0E2F216B"/>
    <w:rsid w:val="0E3352C6"/>
    <w:rsid w:val="0E5369F5"/>
    <w:rsid w:val="0E6271DF"/>
    <w:rsid w:val="0E6B26B6"/>
    <w:rsid w:val="0E6E6955"/>
    <w:rsid w:val="0E81568A"/>
    <w:rsid w:val="0E8813E4"/>
    <w:rsid w:val="0E942250"/>
    <w:rsid w:val="0E963344"/>
    <w:rsid w:val="0E9E6E00"/>
    <w:rsid w:val="0EA40C1C"/>
    <w:rsid w:val="0EB12800"/>
    <w:rsid w:val="0EC1579C"/>
    <w:rsid w:val="0ECB4993"/>
    <w:rsid w:val="0ECD6CC6"/>
    <w:rsid w:val="0ED50DDE"/>
    <w:rsid w:val="0EDC0FE7"/>
    <w:rsid w:val="0EDD1744"/>
    <w:rsid w:val="0EDD5107"/>
    <w:rsid w:val="0EE525BE"/>
    <w:rsid w:val="0EEC6F1D"/>
    <w:rsid w:val="0F103291"/>
    <w:rsid w:val="0F18065D"/>
    <w:rsid w:val="0F1D498B"/>
    <w:rsid w:val="0F2365E1"/>
    <w:rsid w:val="0F337178"/>
    <w:rsid w:val="0F3A1695"/>
    <w:rsid w:val="0F41022A"/>
    <w:rsid w:val="0F4C5227"/>
    <w:rsid w:val="0F565B36"/>
    <w:rsid w:val="0F5F4247"/>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21C9C"/>
    <w:rsid w:val="0FD70565"/>
    <w:rsid w:val="0FEC680C"/>
    <w:rsid w:val="0FFC347A"/>
    <w:rsid w:val="0FFD5040"/>
    <w:rsid w:val="10007AD6"/>
    <w:rsid w:val="10014CF7"/>
    <w:rsid w:val="100E19D0"/>
    <w:rsid w:val="101C4A03"/>
    <w:rsid w:val="101D0C86"/>
    <w:rsid w:val="10240BF3"/>
    <w:rsid w:val="104A023B"/>
    <w:rsid w:val="10505F3B"/>
    <w:rsid w:val="105523FF"/>
    <w:rsid w:val="106D2686"/>
    <w:rsid w:val="106F0E5F"/>
    <w:rsid w:val="107C3E2C"/>
    <w:rsid w:val="107D41AE"/>
    <w:rsid w:val="108C2479"/>
    <w:rsid w:val="109A6911"/>
    <w:rsid w:val="10A81377"/>
    <w:rsid w:val="10B80E65"/>
    <w:rsid w:val="10C02B10"/>
    <w:rsid w:val="10C715C5"/>
    <w:rsid w:val="10D335EF"/>
    <w:rsid w:val="10E746EA"/>
    <w:rsid w:val="10E83FE0"/>
    <w:rsid w:val="10EC3168"/>
    <w:rsid w:val="10F52718"/>
    <w:rsid w:val="11161B98"/>
    <w:rsid w:val="1116627D"/>
    <w:rsid w:val="112F02E7"/>
    <w:rsid w:val="11352B49"/>
    <w:rsid w:val="113C466D"/>
    <w:rsid w:val="114028DC"/>
    <w:rsid w:val="116F1EB0"/>
    <w:rsid w:val="11765ED8"/>
    <w:rsid w:val="117B1D6A"/>
    <w:rsid w:val="117C2D9D"/>
    <w:rsid w:val="117F159E"/>
    <w:rsid w:val="11821DC9"/>
    <w:rsid w:val="118273C5"/>
    <w:rsid w:val="11921373"/>
    <w:rsid w:val="119C45DF"/>
    <w:rsid w:val="119D7849"/>
    <w:rsid w:val="11A61449"/>
    <w:rsid w:val="11C67B8F"/>
    <w:rsid w:val="11D6498E"/>
    <w:rsid w:val="11E57D4F"/>
    <w:rsid w:val="11F92DAB"/>
    <w:rsid w:val="11FC38D5"/>
    <w:rsid w:val="12035CB0"/>
    <w:rsid w:val="120F62A8"/>
    <w:rsid w:val="1210682D"/>
    <w:rsid w:val="121563D9"/>
    <w:rsid w:val="1219391F"/>
    <w:rsid w:val="12240253"/>
    <w:rsid w:val="122449D0"/>
    <w:rsid w:val="12266391"/>
    <w:rsid w:val="122C5C28"/>
    <w:rsid w:val="123800F8"/>
    <w:rsid w:val="123A05DB"/>
    <w:rsid w:val="123F687E"/>
    <w:rsid w:val="124240B9"/>
    <w:rsid w:val="125A117D"/>
    <w:rsid w:val="12680E73"/>
    <w:rsid w:val="12703D53"/>
    <w:rsid w:val="127701EE"/>
    <w:rsid w:val="127E5AA6"/>
    <w:rsid w:val="128071C7"/>
    <w:rsid w:val="12817DA8"/>
    <w:rsid w:val="12853E7C"/>
    <w:rsid w:val="12893E38"/>
    <w:rsid w:val="128B2749"/>
    <w:rsid w:val="12906DAC"/>
    <w:rsid w:val="12976F0D"/>
    <w:rsid w:val="129811DB"/>
    <w:rsid w:val="12AB7A32"/>
    <w:rsid w:val="12BB6535"/>
    <w:rsid w:val="12C54464"/>
    <w:rsid w:val="12C7312B"/>
    <w:rsid w:val="12D048FD"/>
    <w:rsid w:val="12D14417"/>
    <w:rsid w:val="12D22971"/>
    <w:rsid w:val="12D85654"/>
    <w:rsid w:val="12EE5106"/>
    <w:rsid w:val="12FE7BB6"/>
    <w:rsid w:val="13024DF8"/>
    <w:rsid w:val="1307341C"/>
    <w:rsid w:val="130E3629"/>
    <w:rsid w:val="13136909"/>
    <w:rsid w:val="131B39DD"/>
    <w:rsid w:val="13246C2D"/>
    <w:rsid w:val="13283BA4"/>
    <w:rsid w:val="13332F77"/>
    <w:rsid w:val="13334E1C"/>
    <w:rsid w:val="13346EE4"/>
    <w:rsid w:val="13384952"/>
    <w:rsid w:val="133C549C"/>
    <w:rsid w:val="134C6B75"/>
    <w:rsid w:val="1355107F"/>
    <w:rsid w:val="135D4D2E"/>
    <w:rsid w:val="1361635E"/>
    <w:rsid w:val="1366638D"/>
    <w:rsid w:val="136B6B82"/>
    <w:rsid w:val="136D76E8"/>
    <w:rsid w:val="137266E0"/>
    <w:rsid w:val="13836796"/>
    <w:rsid w:val="138A301D"/>
    <w:rsid w:val="13995836"/>
    <w:rsid w:val="13AA5FA1"/>
    <w:rsid w:val="13C20262"/>
    <w:rsid w:val="13D011ED"/>
    <w:rsid w:val="13D024B3"/>
    <w:rsid w:val="13D115EF"/>
    <w:rsid w:val="13D86A45"/>
    <w:rsid w:val="13D92D9C"/>
    <w:rsid w:val="13DD445E"/>
    <w:rsid w:val="13FD073F"/>
    <w:rsid w:val="140171D9"/>
    <w:rsid w:val="1405674E"/>
    <w:rsid w:val="140815BB"/>
    <w:rsid w:val="14087FC1"/>
    <w:rsid w:val="14095006"/>
    <w:rsid w:val="141E583B"/>
    <w:rsid w:val="1424615D"/>
    <w:rsid w:val="142C143A"/>
    <w:rsid w:val="144039D1"/>
    <w:rsid w:val="144E4536"/>
    <w:rsid w:val="1459355A"/>
    <w:rsid w:val="145F07C7"/>
    <w:rsid w:val="14691748"/>
    <w:rsid w:val="146C5189"/>
    <w:rsid w:val="147F7C89"/>
    <w:rsid w:val="14816B50"/>
    <w:rsid w:val="148313F4"/>
    <w:rsid w:val="14934F1A"/>
    <w:rsid w:val="149559C4"/>
    <w:rsid w:val="14A759A3"/>
    <w:rsid w:val="14AC0C32"/>
    <w:rsid w:val="14C45576"/>
    <w:rsid w:val="14C76D6C"/>
    <w:rsid w:val="14DA3DA1"/>
    <w:rsid w:val="14E60B42"/>
    <w:rsid w:val="14EA1C4D"/>
    <w:rsid w:val="14F447EE"/>
    <w:rsid w:val="1515004B"/>
    <w:rsid w:val="15166027"/>
    <w:rsid w:val="15207BBA"/>
    <w:rsid w:val="152F4E1B"/>
    <w:rsid w:val="154767F6"/>
    <w:rsid w:val="154D342A"/>
    <w:rsid w:val="1559587F"/>
    <w:rsid w:val="156B4DCD"/>
    <w:rsid w:val="1574662E"/>
    <w:rsid w:val="15751882"/>
    <w:rsid w:val="1575191B"/>
    <w:rsid w:val="157818C6"/>
    <w:rsid w:val="159C0D14"/>
    <w:rsid w:val="159F73BB"/>
    <w:rsid w:val="15B03F28"/>
    <w:rsid w:val="15BD1EAC"/>
    <w:rsid w:val="15CE57D6"/>
    <w:rsid w:val="15D92CB3"/>
    <w:rsid w:val="15DE29CF"/>
    <w:rsid w:val="15E30A80"/>
    <w:rsid w:val="15EF3E10"/>
    <w:rsid w:val="15F77CD3"/>
    <w:rsid w:val="16053765"/>
    <w:rsid w:val="1608480E"/>
    <w:rsid w:val="161C1C58"/>
    <w:rsid w:val="162C4E62"/>
    <w:rsid w:val="162F7556"/>
    <w:rsid w:val="16382242"/>
    <w:rsid w:val="16413A3A"/>
    <w:rsid w:val="1644500C"/>
    <w:rsid w:val="16461A95"/>
    <w:rsid w:val="16594F06"/>
    <w:rsid w:val="165D4607"/>
    <w:rsid w:val="1663404B"/>
    <w:rsid w:val="166F5E80"/>
    <w:rsid w:val="16766A92"/>
    <w:rsid w:val="167A52A9"/>
    <w:rsid w:val="16866882"/>
    <w:rsid w:val="168805E9"/>
    <w:rsid w:val="168C392F"/>
    <w:rsid w:val="168F69F2"/>
    <w:rsid w:val="16916CB7"/>
    <w:rsid w:val="169C7FDE"/>
    <w:rsid w:val="16A4319F"/>
    <w:rsid w:val="16AC4DDB"/>
    <w:rsid w:val="16AE2FE3"/>
    <w:rsid w:val="16B4400E"/>
    <w:rsid w:val="16BA58CD"/>
    <w:rsid w:val="16BB694C"/>
    <w:rsid w:val="16C739DF"/>
    <w:rsid w:val="16D614D6"/>
    <w:rsid w:val="16DD3B26"/>
    <w:rsid w:val="16EB6E00"/>
    <w:rsid w:val="16F9473B"/>
    <w:rsid w:val="16FD2447"/>
    <w:rsid w:val="1707609C"/>
    <w:rsid w:val="1712339A"/>
    <w:rsid w:val="171B5478"/>
    <w:rsid w:val="171E63FC"/>
    <w:rsid w:val="1722504D"/>
    <w:rsid w:val="17276DF4"/>
    <w:rsid w:val="1738730F"/>
    <w:rsid w:val="173B2DD6"/>
    <w:rsid w:val="17416499"/>
    <w:rsid w:val="17481B81"/>
    <w:rsid w:val="174E2891"/>
    <w:rsid w:val="175007ED"/>
    <w:rsid w:val="17536547"/>
    <w:rsid w:val="17592D5E"/>
    <w:rsid w:val="175A036D"/>
    <w:rsid w:val="176B45C6"/>
    <w:rsid w:val="176C24BA"/>
    <w:rsid w:val="176C447F"/>
    <w:rsid w:val="17761009"/>
    <w:rsid w:val="17875303"/>
    <w:rsid w:val="1793626E"/>
    <w:rsid w:val="17A875F5"/>
    <w:rsid w:val="17B92501"/>
    <w:rsid w:val="17E66DD8"/>
    <w:rsid w:val="17E677E9"/>
    <w:rsid w:val="17E84839"/>
    <w:rsid w:val="17EE1403"/>
    <w:rsid w:val="17F25234"/>
    <w:rsid w:val="17FD061B"/>
    <w:rsid w:val="17FF6314"/>
    <w:rsid w:val="18005F41"/>
    <w:rsid w:val="18025414"/>
    <w:rsid w:val="18171305"/>
    <w:rsid w:val="18334194"/>
    <w:rsid w:val="183E1D37"/>
    <w:rsid w:val="184D0787"/>
    <w:rsid w:val="185D1883"/>
    <w:rsid w:val="18615557"/>
    <w:rsid w:val="18633210"/>
    <w:rsid w:val="18702224"/>
    <w:rsid w:val="18812331"/>
    <w:rsid w:val="18816F1C"/>
    <w:rsid w:val="18853F3E"/>
    <w:rsid w:val="18956393"/>
    <w:rsid w:val="18A8582C"/>
    <w:rsid w:val="18B50543"/>
    <w:rsid w:val="18CD7A02"/>
    <w:rsid w:val="18DC65B5"/>
    <w:rsid w:val="18F621ED"/>
    <w:rsid w:val="19001FFC"/>
    <w:rsid w:val="190E2B4A"/>
    <w:rsid w:val="19256D7A"/>
    <w:rsid w:val="19283A3D"/>
    <w:rsid w:val="193275C2"/>
    <w:rsid w:val="19394FD2"/>
    <w:rsid w:val="193E37E1"/>
    <w:rsid w:val="195B59A7"/>
    <w:rsid w:val="195F3A6C"/>
    <w:rsid w:val="19663168"/>
    <w:rsid w:val="19767855"/>
    <w:rsid w:val="19786B0A"/>
    <w:rsid w:val="199A2059"/>
    <w:rsid w:val="19B46E10"/>
    <w:rsid w:val="19C31ED3"/>
    <w:rsid w:val="19C456C1"/>
    <w:rsid w:val="19C64218"/>
    <w:rsid w:val="19E5590B"/>
    <w:rsid w:val="19F061A1"/>
    <w:rsid w:val="1A020598"/>
    <w:rsid w:val="1A0208F8"/>
    <w:rsid w:val="1A054259"/>
    <w:rsid w:val="1A081816"/>
    <w:rsid w:val="1A165171"/>
    <w:rsid w:val="1A1F47EB"/>
    <w:rsid w:val="1A2729ED"/>
    <w:rsid w:val="1A286A54"/>
    <w:rsid w:val="1A304E0A"/>
    <w:rsid w:val="1A4858FF"/>
    <w:rsid w:val="1A4C698A"/>
    <w:rsid w:val="1A4F0751"/>
    <w:rsid w:val="1A5E4B5A"/>
    <w:rsid w:val="1A672B1C"/>
    <w:rsid w:val="1A7A3787"/>
    <w:rsid w:val="1A8301C0"/>
    <w:rsid w:val="1A872248"/>
    <w:rsid w:val="1A944052"/>
    <w:rsid w:val="1A9B2279"/>
    <w:rsid w:val="1A9B7FF4"/>
    <w:rsid w:val="1A9E2B36"/>
    <w:rsid w:val="1A9E6232"/>
    <w:rsid w:val="1AA74D3D"/>
    <w:rsid w:val="1AAC1E50"/>
    <w:rsid w:val="1AB34DB4"/>
    <w:rsid w:val="1AB613FD"/>
    <w:rsid w:val="1ACF5EB8"/>
    <w:rsid w:val="1AD26086"/>
    <w:rsid w:val="1AD94C79"/>
    <w:rsid w:val="1AE013F8"/>
    <w:rsid w:val="1AE8570C"/>
    <w:rsid w:val="1AEE033B"/>
    <w:rsid w:val="1AF45AC8"/>
    <w:rsid w:val="1AFB06A3"/>
    <w:rsid w:val="1B0F19AE"/>
    <w:rsid w:val="1B0F40F3"/>
    <w:rsid w:val="1B2160BB"/>
    <w:rsid w:val="1B3637AD"/>
    <w:rsid w:val="1B3E0DB5"/>
    <w:rsid w:val="1B420427"/>
    <w:rsid w:val="1B454C94"/>
    <w:rsid w:val="1B5258E6"/>
    <w:rsid w:val="1B6415FF"/>
    <w:rsid w:val="1B6C0DF0"/>
    <w:rsid w:val="1B76379D"/>
    <w:rsid w:val="1B7F6005"/>
    <w:rsid w:val="1B8025E9"/>
    <w:rsid w:val="1B8F7EC5"/>
    <w:rsid w:val="1B9C269A"/>
    <w:rsid w:val="1B9E64C5"/>
    <w:rsid w:val="1BB42683"/>
    <w:rsid w:val="1BBE493C"/>
    <w:rsid w:val="1BC01115"/>
    <w:rsid w:val="1BC36606"/>
    <w:rsid w:val="1BC44015"/>
    <w:rsid w:val="1BCA6284"/>
    <w:rsid w:val="1BFB4C41"/>
    <w:rsid w:val="1C013494"/>
    <w:rsid w:val="1C053414"/>
    <w:rsid w:val="1C056243"/>
    <w:rsid w:val="1C0A780E"/>
    <w:rsid w:val="1C0C6675"/>
    <w:rsid w:val="1C132CB9"/>
    <w:rsid w:val="1C164ECA"/>
    <w:rsid w:val="1C273D33"/>
    <w:rsid w:val="1C4032AB"/>
    <w:rsid w:val="1C4672ED"/>
    <w:rsid w:val="1C467AB6"/>
    <w:rsid w:val="1C5207A8"/>
    <w:rsid w:val="1C527C03"/>
    <w:rsid w:val="1C6277A9"/>
    <w:rsid w:val="1C724E93"/>
    <w:rsid w:val="1C7E1D4C"/>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5F5386"/>
    <w:rsid w:val="1D7072CE"/>
    <w:rsid w:val="1D8131AA"/>
    <w:rsid w:val="1D897F04"/>
    <w:rsid w:val="1D92018E"/>
    <w:rsid w:val="1D9E30A9"/>
    <w:rsid w:val="1DA640BA"/>
    <w:rsid w:val="1DAA059B"/>
    <w:rsid w:val="1DAB1006"/>
    <w:rsid w:val="1DB33C11"/>
    <w:rsid w:val="1DC65562"/>
    <w:rsid w:val="1DD32F44"/>
    <w:rsid w:val="1DE94164"/>
    <w:rsid w:val="1DE94821"/>
    <w:rsid w:val="1DEA459C"/>
    <w:rsid w:val="1DEE1B11"/>
    <w:rsid w:val="1E164B52"/>
    <w:rsid w:val="1E1D1774"/>
    <w:rsid w:val="1E273844"/>
    <w:rsid w:val="1E2F243E"/>
    <w:rsid w:val="1E3A3326"/>
    <w:rsid w:val="1E455D19"/>
    <w:rsid w:val="1E595CAF"/>
    <w:rsid w:val="1E6607F9"/>
    <w:rsid w:val="1E805396"/>
    <w:rsid w:val="1E884F62"/>
    <w:rsid w:val="1E9D6342"/>
    <w:rsid w:val="1E9D6D15"/>
    <w:rsid w:val="1EA77730"/>
    <w:rsid w:val="1EC36E9D"/>
    <w:rsid w:val="1EC533A2"/>
    <w:rsid w:val="1ED015A4"/>
    <w:rsid w:val="1EE2283A"/>
    <w:rsid w:val="1EE25FDD"/>
    <w:rsid w:val="1EE86322"/>
    <w:rsid w:val="1EF5103F"/>
    <w:rsid w:val="1F0274EC"/>
    <w:rsid w:val="1F090F9B"/>
    <w:rsid w:val="1F0E5D6B"/>
    <w:rsid w:val="1F4E511E"/>
    <w:rsid w:val="1F4F2219"/>
    <w:rsid w:val="1F721405"/>
    <w:rsid w:val="1F842044"/>
    <w:rsid w:val="1F887E80"/>
    <w:rsid w:val="1F935819"/>
    <w:rsid w:val="1FA6556D"/>
    <w:rsid w:val="1FA92D3B"/>
    <w:rsid w:val="1FAF2571"/>
    <w:rsid w:val="1FC55EDA"/>
    <w:rsid w:val="1FCE593C"/>
    <w:rsid w:val="1FE312AC"/>
    <w:rsid w:val="1FEC5915"/>
    <w:rsid w:val="1FED32EF"/>
    <w:rsid w:val="20215745"/>
    <w:rsid w:val="20350C87"/>
    <w:rsid w:val="203A2A30"/>
    <w:rsid w:val="20446081"/>
    <w:rsid w:val="204852AD"/>
    <w:rsid w:val="204E6676"/>
    <w:rsid w:val="205A5AA0"/>
    <w:rsid w:val="20730D4E"/>
    <w:rsid w:val="20773A28"/>
    <w:rsid w:val="20796DDF"/>
    <w:rsid w:val="208574F4"/>
    <w:rsid w:val="208E0979"/>
    <w:rsid w:val="208F6BAF"/>
    <w:rsid w:val="209C24BD"/>
    <w:rsid w:val="20A462BA"/>
    <w:rsid w:val="20A976E7"/>
    <w:rsid w:val="20AC7E9E"/>
    <w:rsid w:val="20BB50D0"/>
    <w:rsid w:val="20BF2AAC"/>
    <w:rsid w:val="20C849C7"/>
    <w:rsid w:val="20D07F44"/>
    <w:rsid w:val="20DF66D2"/>
    <w:rsid w:val="20EC3F2E"/>
    <w:rsid w:val="20EC7C3E"/>
    <w:rsid w:val="20F900A6"/>
    <w:rsid w:val="210548E9"/>
    <w:rsid w:val="2107210D"/>
    <w:rsid w:val="21124D15"/>
    <w:rsid w:val="213E7119"/>
    <w:rsid w:val="21756B2C"/>
    <w:rsid w:val="21810744"/>
    <w:rsid w:val="218D6EF5"/>
    <w:rsid w:val="2195668B"/>
    <w:rsid w:val="21995167"/>
    <w:rsid w:val="21A130EA"/>
    <w:rsid w:val="21A5163A"/>
    <w:rsid w:val="21A64442"/>
    <w:rsid w:val="21AC4ECC"/>
    <w:rsid w:val="21B222BC"/>
    <w:rsid w:val="21BD09D7"/>
    <w:rsid w:val="21C267BF"/>
    <w:rsid w:val="21C43372"/>
    <w:rsid w:val="21CD6BCD"/>
    <w:rsid w:val="21CE6067"/>
    <w:rsid w:val="21CF439A"/>
    <w:rsid w:val="21F00127"/>
    <w:rsid w:val="21F43497"/>
    <w:rsid w:val="22045B97"/>
    <w:rsid w:val="2219238D"/>
    <w:rsid w:val="221D2FA3"/>
    <w:rsid w:val="22247705"/>
    <w:rsid w:val="2226635F"/>
    <w:rsid w:val="222D4F0B"/>
    <w:rsid w:val="22384AB0"/>
    <w:rsid w:val="223D7545"/>
    <w:rsid w:val="22411D14"/>
    <w:rsid w:val="22423BE1"/>
    <w:rsid w:val="22454449"/>
    <w:rsid w:val="22500810"/>
    <w:rsid w:val="226347BD"/>
    <w:rsid w:val="22682935"/>
    <w:rsid w:val="226F564C"/>
    <w:rsid w:val="22714CE9"/>
    <w:rsid w:val="22730512"/>
    <w:rsid w:val="227C7BE1"/>
    <w:rsid w:val="228A4698"/>
    <w:rsid w:val="228D7F55"/>
    <w:rsid w:val="22945167"/>
    <w:rsid w:val="229B1A41"/>
    <w:rsid w:val="22A55CD5"/>
    <w:rsid w:val="22AC2795"/>
    <w:rsid w:val="22BB36DF"/>
    <w:rsid w:val="22BC2B0B"/>
    <w:rsid w:val="22C74EE2"/>
    <w:rsid w:val="22C80038"/>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3C6F76"/>
    <w:rsid w:val="2341526C"/>
    <w:rsid w:val="234449F5"/>
    <w:rsid w:val="234A29B4"/>
    <w:rsid w:val="23536618"/>
    <w:rsid w:val="236F7CD9"/>
    <w:rsid w:val="237D3B26"/>
    <w:rsid w:val="23816932"/>
    <w:rsid w:val="23A22D26"/>
    <w:rsid w:val="23A9484E"/>
    <w:rsid w:val="23B32F98"/>
    <w:rsid w:val="23B84268"/>
    <w:rsid w:val="23C04937"/>
    <w:rsid w:val="23D03C50"/>
    <w:rsid w:val="23D17D7B"/>
    <w:rsid w:val="23D36D91"/>
    <w:rsid w:val="23EA25D3"/>
    <w:rsid w:val="23F70BA5"/>
    <w:rsid w:val="23F93D0D"/>
    <w:rsid w:val="2405417E"/>
    <w:rsid w:val="240905AE"/>
    <w:rsid w:val="241B5C62"/>
    <w:rsid w:val="242005F6"/>
    <w:rsid w:val="244D419B"/>
    <w:rsid w:val="245872F9"/>
    <w:rsid w:val="245943D9"/>
    <w:rsid w:val="245B217B"/>
    <w:rsid w:val="245D2237"/>
    <w:rsid w:val="245E6B64"/>
    <w:rsid w:val="245F176F"/>
    <w:rsid w:val="2463385E"/>
    <w:rsid w:val="2466191B"/>
    <w:rsid w:val="247F0848"/>
    <w:rsid w:val="248A1E01"/>
    <w:rsid w:val="24967323"/>
    <w:rsid w:val="249D5FC8"/>
    <w:rsid w:val="24A1538E"/>
    <w:rsid w:val="24B9450F"/>
    <w:rsid w:val="24C83F94"/>
    <w:rsid w:val="24D706EC"/>
    <w:rsid w:val="24E44130"/>
    <w:rsid w:val="24EE3D24"/>
    <w:rsid w:val="24F60CDA"/>
    <w:rsid w:val="24FE1078"/>
    <w:rsid w:val="250B4793"/>
    <w:rsid w:val="250D450C"/>
    <w:rsid w:val="25134332"/>
    <w:rsid w:val="25141A5B"/>
    <w:rsid w:val="2521546A"/>
    <w:rsid w:val="25225B0E"/>
    <w:rsid w:val="252B49E0"/>
    <w:rsid w:val="253B247A"/>
    <w:rsid w:val="25544D4D"/>
    <w:rsid w:val="25734B61"/>
    <w:rsid w:val="257C1EB5"/>
    <w:rsid w:val="257F0513"/>
    <w:rsid w:val="258843F6"/>
    <w:rsid w:val="258F6BC4"/>
    <w:rsid w:val="25975923"/>
    <w:rsid w:val="259A3D0A"/>
    <w:rsid w:val="25A72265"/>
    <w:rsid w:val="25A95F3E"/>
    <w:rsid w:val="25BF6041"/>
    <w:rsid w:val="25C11AFE"/>
    <w:rsid w:val="25C35718"/>
    <w:rsid w:val="25C61809"/>
    <w:rsid w:val="25CF0252"/>
    <w:rsid w:val="25D0248E"/>
    <w:rsid w:val="25D52D1D"/>
    <w:rsid w:val="25E17E34"/>
    <w:rsid w:val="25F81D70"/>
    <w:rsid w:val="25FB5636"/>
    <w:rsid w:val="25FE58A9"/>
    <w:rsid w:val="26070462"/>
    <w:rsid w:val="260D2C45"/>
    <w:rsid w:val="26197DFF"/>
    <w:rsid w:val="262F0AD0"/>
    <w:rsid w:val="26395C92"/>
    <w:rsid w:val="26484954"/>
    <w:rsid w:val="266237C3"/>
    <w:rsid w:val="266E0D1D"/>
    <w:rsid w:val="267550B9"/>
    <w:rsid w:val="267A4B30"/>
    <w:rsid w:val="26C472EC"/>
    <w:rsid w:val="26D97CAE"/>
    <w:rsid w:val="26E264E6"/>
    <w:rsid w:val="26EC491A"/>
    <w:rsid w:val="26ED73E1"/>
    <w:rsid w:val="27047832"/>
    <w:rsid w:val="270D43CE"/>
    <w:rsid w:val="271435B7"/>
    <w:rsid w:val="27204B5D"/>
    <w:rsid w:val="272F31A0"/>
    <w:rsid w:val="27342901"/>
    <w:rsid w:val="27383740"/>
    <w:rsid w:val="273D2762"/>
    <w:rsid w:val="27446B8B"/>
    <w:rsid w:val="27470B72"/>
    <w:rsid w:val="27525E32"/>
    <w:rsid w:val="275639D6"/>
    <w:rsid w:val="27722E60"/>
    <w:rsid w:val="2775024B"/>
    <w:rsid w:val="27765A05"/>
    <w:rsid w:val="2778582E"/>
    <w:rsid w:val="27806765"/>
    <w:rsid w:val="278435A8"/>
    <w:rsid w:val="27851763"/>
    <w:rsid w:val="279B1E53"/>
    <w:rsid w:val="27A14309"/>
    <w:rsid w:val="27AB7429"/>
    <w:rsid w:val="27C57B2B"/>
    <w:rsid w:val="27C8029E"/>
    <w:rsid w:val="27CC78AC"/>
    <w:rsid w:val="27CE1EA1"/>
    <w:rsid w:val="27CF6D63"/>
    <w:rsid w:val="27D5047E"/>
    <w:rsid w:val="27DD45ED"/>
    <w:rsid w:val="27E27828"/>
    <w:rsid w:val="27E3651B"/>
    <w:rsid w:val="27EC25E3"/>
    <w:rsid w:val="27ED0939"/>
    <w:rsid w:val="27F1498B"/>
    <w:rsid w:val="28027A71"/>
    <w:rsid w:val="281F4F67"/>
    <w:rsid w:val="28214BB3"/>
    <w:rsid w:val="282432CE"/>
    <w:rsid w:val="283744B4"/>
    <w:rsid w:val="28485D62"/>
    <w:rsid w:val="285560D7"/>
    <w:rsid w:val="285B1045"/>
    <w:rsid w:val="28760CA0"/>
    <w:rsid w:val="288A05DD"/>
    <w:rsid w:val="28937D89"/>
    <w:rsid w:val="28C96C14"/>
    <w:rsid w:val="28CF1781"/>
    <w:rsid w:val="28E138E3"/>
    <w:rsid w:val="28E25FF0"/>
    <w:rsid w:val="28E74216"/>
    <w:rsid w:val="28E87EE4"/>
    <w:rsid w:val="28F42613"/>
    <w:rsid w:val="28F57442"/>
    <w:rsid w:val="2903396A"/>
    <w:rsid w:val="290D008D"/>
    <w:rsid w:val="291F2805"/>
    <w:rsid w:val="29212936"/>
    <w:rsid w:val="294E766A"/>
    <w:rsid w:val="294F506D"/>
    <w:rsid w:val="295F09EE"/>
    <w:rsid w:val="296B1E22"/>
    <w:rsid w:val="2978319A"/>
    <w:rsid w:val="297A3E18"/>
    <w:rsid w:val="29A3014B"/>
    <w:rsid w:val="29A74CBD"/>
    <w:rsid w:val="29B01C34"/>
    <w:rsid w:val="29B02636"/>
    <w:rsid w:val="29B16357"/>
    <w:rsid w:val="29BA0D88"/>
    <w:rsid w:val="29CF32B2"/>
    <w:rsid w:val="29D24FAA"/>
    <w:rsid w:val="29DE15A2"/>
    <w:rsid w:val="29E37FC4"/>
    <w:rsid w:val="29EF3680"/>
    <w:rsid w:val="29EF424E"/>
    <w:rsid w:val="29F13D11"/>
    <w:rsid w:val="29F93F5E"/>
    <w:rsid w:val="29FA7F26"/>
    <w:rsid w:val="29FD07C3"/>
    <w:rsid w:val="2A0066C4"/>
    <w:rsid w:val="2A23469B"/>
    <w:rsid w:val="2A35650F"/>
    <w:rsid w:val="2A405845"/>
    <w:rsid w:val="2A4D593F"/>
    <w:rsid w:val="2A5645FE"/>
    <w:rsid w:val="2A63608A"/>
    <w:rsid w:val="2A673E21"/>
    <w:rsid w:val="2A6920F5"/>
    <w:rsid w:val="2A6E31F8"/>
    <w:rsid w:val="2A8A2F9C"/>
    <w:rsid w:val="2A9A0A02"/>
    <w:rsid w:val="2AA077A9"/>
    <w:rsid w:val="2AA95326"/>
    <w:rsid w:val="2AAB580F"/>
    <w:rsid w:val="2AAC5A06"/>
    <w:rsid w:val="2AB16068"/>
    <w:rsid w:val="2ABB3D6F"/>
    <w:rsid w:val="2AC70B30"/>
    <w:rsid w:val="2ACC2AAF"/>
    <w:rsid w:val="2AD74744"/>
    <w:rsid w:val="2AD91AC2"/>
    <w:rsid w:val="2AE546EF"/>
    <w:rsid w:val="2AE57C95"/>
    <w:rsid w:val="2AE90B77"/>
    <w:rsid w:val="2AF35C8B"/>
    <w:rsid w:val="2B0279D1"/>
    <w:rsid w:val="2B132265"/>
    <w:rsid w:val="2B1D1F04"/>
    <w:rsid w:val="2B214776"/>
    <w:rsid w:val="2B2843BE"/>
    <w:rsid w:val="2B313FC1"/>
    <w:rsid w:val="2B347C14"/>
    <w:rsid w:val="2B39348E"/>
    <w:rsid w:val="2B437285"/>
    <w:rsid w:val="2B4D695C"/>
    <w:rsid w:val="2B514803"/>
    <w:rsid w:val="2B5D3585"/>
    <w:rsid w:val="2B637D4B"/>
    <w:rsid w:val="2B6B1684"/>
    <w:rsid w:val="2B7B70BF"/>
    <w:rsid w:val="2B8B422C"/>
    <w:rsid w:val="2B953F09"/>
    <w:rsid w:val="2BA07D38"/>
    <w:rsid w:val="2BB960F0"/>
    <w:rsid w:val="2BC40957"/>
    <w:rsid w:val="2BCB5DAA"/>
    <w:rsid w:val="2BF235A7"/>
    <w:rsid w:val="2BF369B9"/>
    <w:rsid w:val="2BFC0A4A"/>
    <w:rsid w:val="2C094904"/>
    <w:rsid w:val="2C0E55A1"/>
    <w:rsid w:val="2C3658B0"/>
    <w:rsid w:val="2C3A7BF6"/>
    <w:rsid w:val="2C425BCE"/>
    <w:rsid w:val="2C44676A"/>
    <w:rsid w:val="2C4605C2"/>
    <w:rsid w:val="2C4A080C"/>
    <w:rsid w:val="2C54533B"/>
    <w:rsid w:val="2C591378"/>
    <w:rsid w:val="2C733DF1"/>
    <w:rsid w:val="2C8F4862"/>
    <w:rsid w:val="2C9E5AC8"/>
    <w:rsid w:val="2CA2721B"/>
    <w:rsid w:val="2CB600FC"/>
    <w:rsid w:val="2CC9246F"/>
    <w:rsid w:val="2CD61058"/>
    <w:rsid w:val="2D026315"/>
    <w:rsid w:val="2D0764BD"/>
    <w:rsid w:val="2D0B3169"/>
    <w:rsid w:val="2D0D4219"/>
    <w:rsid w:val="2D122B4E"/>
    <w:rsid w:val="2D1F2D4D"/>
    <w:rsid w:val="2D2D2DE2"/>
    <w:rsid w:val="2D340E86"/>
    <w:rsid w:val="2D395427"/>
    <w:rsid w:val="2D3D0E02"/>
    <w:rsid w:val="2D3D5AFF"/>
    <w:rsid w:val="2D4654A3"/>
    <w:rsid w:val="2D495609"/>
    <w:rsid w:val="2D5372BC"/>
    <w:rsid w:val="2D5839DB"/>
    <w:rsid w:val="2D62469E"/>
    <w:rsid w:val="2D6B40A9"/>
    <w:rsid w:val="2D765922"/>
    <w:rsid w:val="2D892023"/>
    <w:rsid w:val="2D8A3FA2"/>
    <w:rsid w:val="2D925609"/>
    <w:rsid w:val="2D9767DC"/>
    <w:rsid w:val="2D980DDC"/>
    <w:rsid w:val="2D987372"/>
    <w:rsid w:val="2DC2086B"/>
    <w:rsid w:val="2DC35F89"/>
    <w:rsid w:val="2DC609A6"/>
    <w:rsid w:val="2DCE26BE"/>
    <w:rsid w:val="2DCE5F69"/>
    <w:rsid w:val="2DD755E4"/>
    <w:rsid w:val="2DDD4F0A"/>
    <w:rsid w:val="2DF37ABF"/>
    <w:rsid w:val="2DF95234"/>
    <w:rsid w:val="2E063514"/>
    <w:rsid w:val="2E106174"/>
    <w:rsid w:val="2E170B60"/>
    <w:rsid w:val="2E2D76DF"/>
    <w:rsid w:val="2E2E6511"/>
    <w:rsid w:val="2E34792A"/>
    <w:rsid w:val="2E437E73"/>
    <w:rsid w:val="2E4F0E88"/>
    <w:rsid w:val="2E5034DC"/>
    <w:rsid w:val="2E572AB9"/>
    <w:rsid w:val="2E58199C"/>
    <w:rsid w:val="2E7258DC"/>
    <w:rsid w:val="2E79458E"/>
    <w:rsid w:val="2E797A78"/>
    <w:rsid w:val="2E7C6A94"/>
    <w:rsid w:val="2E7F3812"/>
    <w:rsid w:val="2E8321A5"/>
    <w:rsid w:val="2E8A404A"/>
    <w:rsid w:val="2E9F6D95"/>
    <w:rsid w:val="2EAE350B"/>
    <w:rsid w:val="2EB20A6C"/>
    <w:rsid w:val="2EBC2287"/>
    <w:rsid w:val="2ECA3116"/>
    <w:rsid w:val="2ECE6C94"/>
    <w:rsid w:val="2ED2618A"/>
    <w:rsid w:val="2EDD7896"/>
    <w:rsid w:val="2EEA6E65"/>
    <w:rsid w:val="2EFA17E9"/>
    <w:rsid w:val="2F00052B"/>
    <w:rsid w:val="2F0367CD"/>
    <w:rsid w:val="2F083F54"/>
    <w:rsid w:val="2F1251F2"/>
    <w:rsid w:val="2F377F11"/>
    <w:rsid w:val="2F4D49C0"/>
    <w:rsid w:val="2F4F6FBB"/>
    <w:rsid w:val="2F5E5B1E"/>
    <w:rsid w:val="2F61116A"/>
    <w:rsid w:val="2F664E2B"/>
    <w:rsid w:val="2F6C7BE3"/>
    <w:rsid w:val="2F783485"/>
    <w:rsid w:val="2F7F5C0B"/>
    <w:rsid w:val="2FA6492D"/>
    <w:rsid w:val="2FBA5EC5"/>
    <w:rsid w:val="2FC67770"/>
    <w:rsid w:val="2FC972D2"/>
    <w:rsid w:val="2FD71CA4"/>
    <w:rsid w:val="2FDC6CBD"/>
    <w:rsid w:val="2FF93066"/>
    <w:rsid w:val="301103CD"/>
    <w:rsid w:val="30130869"/>
    <w:rsid w:val="30133FEC"/>
    <w:rsid w:val="301A71CE"/>
    <w:rsid w:val="301E049B"/>
    <w:rsid w:val="302A4BE6"/>
    <w:rsid w:val="302B1223"/>
    <w:rsid w:val="30307691"/>
    <w:rsid w:val="303867AA"/>
    <w:rsid w:val="304478EC"/>
    <w:rsid w:val="30477603"/>
    <w:rsid w:val="304A1F48"/>
    <w:rsid w:val="304D174B"/>
    <w:rsid w:val="30684D7B"/>
    <w:rsid w:val="30761B12"/>
    <w:rsid w:val="30916BB1"/>
    <w:rsid w:val="30962F3E"/>
    <w:rsid w:val="30986D57"/>
    <w:rsid w:val="30AA2585"/>
    <w:rsid w:val="30C16A19"/>
    <w:rsid w:val="30CA4DB3"/>
    <w:rsid w:val="30CD13EE"/>
    <w:rsid w:val="30D32236"/>
    <w:rsid w:val="30FA7530"/>
    <w:rsid w:val="30FF2795"/>
    <w:rsid w:val="310375CD"/>
    <w:rsid w:val="311611B3"/>
    <w:rsid w:val="313C313D"/>
    <w:rsid w:val="314E236F"/>
    <w:rsid w:val="31552F50"/>
    <w:rsid w:val="315E0B07"/>
    <w:rsid w:val="31614403"/>
    <w:rsid w:val="31621F46"/>
    <w:rsid w:val="31623972"/>
    <w:rsid w:val="316E7CA0"/>
    <w:rsid w:val="317206BF"/>
    <w:rsid w:val="317932EA"/>
    <w:rsid w:val="317D34AA"/>
    <w:rsid w:val="317E5000"/>
    <w:rsid w:val="31B718F2"/>
    <w:rsid w:val="31BD323E"/>
    <w:rsid w:val="31D20051"/>
    <w:rsid w:val="31EF7EE8"/>
    <w:rsid w:val="31F9420D"/>
    <w:rsid w:val="3201404F"/>
    <w:rsid w:val="320901F5"/>
    <w:rsid w:val="320B7CCB"/>
    <w:rsid w:val="32105DE8"/>
    <w:rsid w:val="3235187E"/>
    <w:rsid w:val="3237186B"/>
    <w:rsid w:val="323B6798"/>
    <w:rsid w:val="32454376"/>
    <w:rsid w:val="32466B7E"/>
    <w:rsid w:val="32537B57"/>
    <w:rsid w:val="325F618E"/>
    <w:rsid w:val="326A40B9"/>
    <w:rsid w:val="326B2DFA"/>
    <w:rsid w:val="326E5B28"/>
    <w:rsid w:val="32757E99"/>
    <w:rsid w:val="328F5534"/>
    <w:rsid w:val="32910B8E"/>
    <w:rsid w:val="329234AC"/>
    <w:rsid w:val="329A6ACE"/>
    <w:rsid w:val="32A230DB"/>
    <w:rsid w:val="32CF28C2"/>
    <w:rsid w:val="32DF351E"/>
    <w:rsid w:val="32EE5E41"/>
    <w:rsid w:val="32F40F87"/>
    <w:rsid w:val="32FD7C76"/>
    <w:rsid w:val="330246BF"/>
    <w:rsid w:val="330C22FC"/>
    <w:rsid w:val="33247878"/>
    <w:rsid w:val="33385662"/>
    <w:rsid w:val="33540E5D"/>
    <w:rsid w:val="335A0521"/>
    <w:rsid w:val="335E7B11"/>
    <w:rsid w:val="3364318B"/>
    <w:rsid w:val="33691888"/>
    <w:rsid w:val="336A499A"/>
    <w:rsid w:val="33714830"/>
    <w:rsid w:val="33737F51"/>
    <w:rsid w:val="337964FF"/>
    <w:rsid w:val="337D34FB"/>
    <w:rsid w:val="33813CAA"/>
    <w:rsid w:val="338A0D6A"/>
    <w:rsid w:val="33900F1D"/>
    <w:rsid w:val="33913DC1"/>
    <w:rsid w:val="3391740A"/>
    <w:rsid w:val="33AD318F"/>
    <w:rsid w:val="33BF4199"/>
    <w:rsid w:val="33C57F19"/>
    <w:rsid w:val="33D151B9"/>
    <w:rsid w:val="33D4727F"/>
    <w:rsid w:val="33E76BD1"/>
    <w:rsid w:val="33FE62E7"/>
    <w:rsid w:val="340D25F6"/>
    <w:rsid w:val="34172EFD"/>
    <w:rsid w:val="342B76C7"/>
    <w:rsid w:val="343A1527"/>
    <w:rsid w:val="343C69D1"/>
    <w:rsid w:val="34447898"/>
    <w:rsid w:val="344E62FA"/>
    <w:rsid w:val="3472234D"/>
    <w:rsid w:val="347D500F"/>
    <w:rsid w:val="34830157"/>
    <w:rsid w:val="34872D27"/>
    <w:rsid w:val="349164BD"/>
    <w:rsid w:val="34BD02AE"/>
    <w:rsid w:val="34C70B28"/>
    <w:rsid w:val="34DA26A8"/>
    <w:rsid w:val="34E43AD1"/>
    <w:rsid w:val="34E960F1"/>
    <w:rsid w:val="34ED6696"/>
    <w:rsid w:val="350B42D5"/>
    <w:rsid w:val="350F6258"/>
    <w:rsid w:val="351A603C"/>
    <w:rsid w:val="352743C4"/>
    <w:rsid w:val="352821F6"/>
    <w:rsid w:val="35387F19"/>
    <w:rsid w:val="3539550B"/>
    <w:rsid w:val="353C7CFC"/>
    <w:rsid w:val="356678B4"/>
    <w:rsid w:val="3573649F"/>
    <w:rsid w:val="357E4B0A"/>
    <w:rsid w:val="35866D7F"/>
    <w:rsid w:val="358F6BDF"/>
    <w:rsid w:val="35A26D98"/>
    <w:rsid w:val="35C06D50"/>
    <w:rsid w:val="35D24294"/>
    <w:rsid w:val="35D41F5E"/>
    <w:rsid w:val="35E23FDD"/>
    <w:rsid w:val="35FF6F3C"/>
    <w:rsid w:val="36075F27"/>
    <w:rsid w:val="36121506"/>
    <w:rsid w:val="361D7A43"/>
    <w:rsid w:val="361F3323"/>
    <w:rsid w:val="3631089E"/>
    <w:rsid w:val="36402EFA"/>
    <w:rsid w:val="364271C9"/>
    <w:rsid w:val="36496A51"/>
    <w:rsid w:val="365623F6"/>
    <w:rsid w:val="36670090"/>
    <w:rsid w:val="366D70A8"/>
    <w:rsid w:val="36720B63"/>
    <w:rsid w:val="368230C6"/>
    <w:rsid w:val="368F7E4F"/>
    <w:rsid w:val="36985297"/>
    <w:rsid w:val="369F633B"/>
    <w:rsid w:val="36A30FDB"/>
    <w:rsid w:val="36A7007C"/>
    <w:rsid w:val="36AA0A21"/>
    <w:rsid w:val="36B10648"/>
    <w:rsid w:val="36B24AE8"/>
    <w:rsid w:val="36BD0DC4"/>
    <w:rsid w:val="36D51D00"/>
    <w:rsid w:val="36D66B5E"/>
    <w:rsid w:val="36E93760"/>
    <w:rsid w:val="36FB4305"/>
    <w:rsid w:val="3708597F"/>
    <w:rsid w:val="37096815"/>
    <w:rsid w:val="370E4B4D"/>
    <w:rsid w:val="370F7060"/>
    <w:rsid w:val="37134801"/>
    <w:rsid w:val="37150C16"/>
    <w:rsid w:val="37173233"/>
    <w:rsid w:val="37226558"/>
    <w:rsid w:val="3734159D"/>
    <w:rsid w:val="37366323"/>
    <w:rsid w:val="37382526"/>
    <w:rsid w:val="374625F4"/>
    <w:rsid w:val="374E78C1"/>
    <w:rsid w:val="375353D0"/>
    <w:rsid w:val="3758590A"/>
    <w:rsid w:val="37602E60"/>
    <w:rsid w:val="377852C0"/>
    <w:rsid w:val="378229A7"/>
    <w:rsid w:val="37824265"/>
    <w:rsid w:val="3784394E"/>
    <w:rsid w:val="379231B9"/>
    <w:rsid w:val="37987437"/>
    <w:rsid w:val="37AF6474"/>
    <w:rsid w:val="37BC1DFF"/>
    <w:rsid w:val="37C94031"/>
    <w:rsid w:val="37CA042E"/>
    <w:rsid w:val="37D44549"/>
    <w:rsid w:val="37D77B09"/>
    <w:rsid w:val="37D97EDE"/>
    <w:rsid w:val="37DA45C2"/>
    <w:rsid w:val="37DF3A13"/>
    <w:rsid w:val="37E82930"/>
    <w:rsid w:val="37F222D9"/>
    <w:rsid w:val="381902FC"/>
    <w:rsid w:val="381F218D"/>
    <w:rsid w:val="382B1BDF"/>
    <w:rsid w:val="382E392C"/>
    <w:rsid w:val="383024D3"/>
    <w:rsid w:val="38342E90"/>
    <w:rsid w:val="38402F80"/>
    <w:rsid w:val="384A24FB"/>
    <w:rsid w:val="384B7332"/>
    <w:rsid w:val="384F1685"/>
    <w:rsid w:val="385056AF"/>
    <w:rsid w:val="38706DCB"/>
    <w:rsid w:val="388E5848"/>
    <w:rsid w:val="38991BA1"/>
    <w:rsid w:val="389E0451"/>
    <w:rsid w:val="38A94D18"/>
    <w:rsid w:val="38BD31EE"/>
    <w:rsid w:val="38CB3BDF"/>
    <w:rsid w:val="38D33D29"/>
    <w:rsid w:val="38DB01DF"/>
    <w:rsid w:val="38E36442"/>
    <w:rsid w:val="38E40A5B"/>
    <w:rsid w:val="39045619"/>
    <w:rsid w:val="39247E4A"/>
    <w:rsid w:val="39285D57"/>
    <w:rsid w:val="39372A0B"/>
    <w:rsid w:val="394B6470"/>
    <w:rsid w:val="3953321D"/>
    <w:rsid w:val="396778BC"/>
    <w:rsid w:val="39860592"/>
    <w:rsid w:val="39872512"/>
    <w:rsid w:val="39931A05"/>
    <w:rsid w:val="39945066"/>
    <w:rsid w:val="39A2099B"/>
    <w:rsid w:val="39A602F9"/>
    <w:rsid w:val="39BD45C8"/>
    <w:rsid w:val="39C2316A"/>
    <w:rsid w:val="39D7513A"/>
    <w:rsid w:val="39DA6378"/>
    <w:rsid w:val="39DE0CD3"/>
    <w:rsid w:val="39F36281"/>
    <w:rsid w:val="39F537D5"/>
    <w:rsid w:val="39F56CC2"/>
    <w:rsid w:val="39FD376D"/>
    <w:rsid w:val="39FD6C9C"/>
    <w:rsid w:val="3A0224B9"/>
    <w:rsid w:val="3A071002"/>
    <w:rsid w:val="3A156E39"/>
    <w:rsid w:val="3A16794C"/>
    <w:rsid w:val="3A21256E"/>
    <w:rsid w:val="3A22476C"/>
    <w:rsid w:val="3A226969"/>
    <w:rsid w:val="3A3F47CE"/>
    <w:rsid w:val="3A4E1C5D"/>
    <w:rsid w:val="3A523735"/>
    <w:rsid w:val="3A5307BE"/>
    <w:rsid w:val="3A557AE4"/>
    <w:rsid w:val="3A6B0F84"/>
    <w:rsid w:val="3A727435"/>
    <w:rsid w:val="3A745FD9"/>
    <w:rsid w:val="3A94055A"/>
    <w:rsid w:val="3AC17E3A"/>
    <w:rsid w:val="3AC71C01"/>
    <w:rsid w:val="3ACB5746"/>
    <w:rsid w:val="3ADD2B05"/>
    <w:rsid w:val="3AE417E3"/>
    <w:rsid w:val="3AE440AF"/>
    <w:rsid w:val="3AF7667E"/>
    <w:rsid w:val="3B032215"/>
    <w:rsid w:val="3B113F51"/>
    <w:rsid w:val="3B185809"/>
    <w:rsid w:val="3B264B22"/>
    <w:rsid w:val="3B2C21C1"/>
    <w:rsid w:val="3B307112"/>
    <w:rsid w:val="3B540533"/>
    <w:rsid w:val="3B5A2A22"/>
    <w:rsid w:val="3B6B5A08"/>
    <w:rsid w:val="3B70246F"/>
    <w:rsid w:val="3B7804A3"/>
    <w:rsid w:val="3B8E2153"/>
    <w:rsid w:val="3B9B0E38"/>
    <w:rsid w:val="3BA03B83"/>
    <w:rsid w:val="3BB20883"/>
    <w:rsid w:val="3BC34E75"/>
    <w:rsid w:val="3BCB270F"/>
    <w:rsid w:val="3BCF7E47"/>
    <w:rsid w:val="3BD96AA6"/>
    <w:rsid w:val="3BE940D8"/>
    <w:rsid w:val="3BE94483"/>
    <w:rsid w:val="3C0429BF"/>
    <w:rsid w:val="3C0A7E90"/>
    <w:rsid w:val="3C1A201A"/>
    <w:rsid w:val="3C371D4B"/>
    <w:rsid w:val="3C3B4B9D"/>
    <w:rsid w:val="3C413C82"/>
    <w:rsid w:val="3C471C36"/>
    <w:rsid w:val="3C5A6B66"/>
    <w:rsid w:val="3C5D215A"/>
    <w:rsid w:val="3C612ED7"/>
    <w:rsid w:val="3C734413"/>
    <w:rsid w:val="3C8E50A1"/>
    <w:rsid w:val="3C9278F3"/>
    <w:rsid w:val="3C982C18"/>
    <w:rsid w:val="3CA734F8"/>
    <w:rsid w:val="3CC74223"/>
    <w:rsid w:val="3CC828D0"/>
    <w:rsid w:val="3CDB5F96"/>
    <w:rsid w:val="3CDD06FA"/>
    <w:rsid w:val="3CE23F49"/>
    <w:rsid w:val="3CEC39B8"/>
    <w:rsid w:val="3CF720E3"/>
    <w:rsid w:val="3CF72D6A"/>
    <w:rsid w:val="3CF86D06"/>
    <w:rsid w:val="3D00620E"/>
    <w:rsid w:val="3D035226"/>
    <w:rsid w:val="3D120453"/>
    <w:rsid w:val="3D145DC3"/>
    <w:rsid w:val="3D316CDB"/>
    <w:rsid w:val="3D3679ED"/>
    <w:rsid w:val="3D3D6BBD"/>
    <w:rsid w:val="3D3F6549"/>
    <w:rsid w:val="3D450F8C"/>
    <w:rsid w:val="3D477118"/>
    <w:rsid w:val="3D4C7DD0"/>
    <w:rsid w:val="3D594E54"/>
    <w:rsid w:val="3D62706F"/>
    <w:rsid w:val="3D6E2272"/>
    <w:rsid w:val="3D6E5ED6"/>
    <w:rsid w:val="3D7C727A"/>
    <w:rsid w:val="3D81786B"/>
    <w:rsid w:val="3D830417"/>
    <w:rsid w:val="3D877AC5"/>
    <w:rsid w:val="3D882D35"/>
    <w:rsid w:val="3D8D2848"/>
    <w:rsid w:val="3D94235D"/>
    <w:rsid w:val="3D9461E1"/>
    <w:rsid w:val="3DB34E86"/>
    <w:rsid w:val="3DC93F58"/>
    <w:rsid w:val="3DD85289"/>
    <w:rsid w:val="3DE05321"/>
    <w:rsid w:val="3DF379B0"/>
    <w:rsid w:val="3DF95812"/>
    <w:rsid w:val="3E05314D"/>
    <w:rsid w:val="3E087F09"/>
    <w:rsid w:val="3E142837"/>
    <w:rsid w:val="3E166C6B"/>
    <w:rsid w:val="3E1D4077"/>
    <w:rsid w:val="3E1D4B24"/>
    <w:rsid w:val="3E2811AE"/>
    <w:rsid w:val="3E2E1A1A"/>
    <w:rsid w:val="3E3473DF"/>
    <w:rsid w:val="3E3A04FA"/>
    <w:rsid w:val="3E3D6B96"/>
    <w:rsid w:val="3E3E1C48"/>
    <w:rsid w:val="3E441C7D"/>
    <w:rsid w:val="3E490256"/>
    <w:rsid w:val="3E55739E"/>
    <w:rsid w:val="3E6C43C8"/>
    <w:rsid w:val="3E8227F0"/>
    <w:rsid w:val="3E8338F9"/>
    <w:rsid w:val="3E9B4B40"/>
    <w:rsid w:val="3EB6578C"/>
    <w:rsid w:val="3EB71AC8"/>
    <w:rsid w:val="3EC85E34"/>
    <w:rsid w:val="3ED0424C"/>
    <w:rsid w:val="3EE71542"/>
    <w:rsid w:val="3EF025A4"/>
    <w:rsid w:val="3EF31E7F"/>
    <w:rsid w:val="3EF36DF0"/>
    <w:rsid w:val="3EFA08FC"/>
    <w:rsid w:val="3F053EF6"/>
    <w:rsid w:val="3F093188"/>
    <w:rsid w:val="3F173F6B"/>
    <w:rsid w:val="3F1E1DE8"/>
    <w:rsid w:val="3F2244AD"/>
    <w:rsid w:val="3F253B0C"/>
    <w:rsid w:val="3F2B0925"/>
    <w:rsid w:val="3F2C04C4"/>
    <w:rsid w:val="3F3E7C9F"/>
    <w:rsid w:val="3F416B99"/>
    <w:rsid w:val="3F4553C3"/>
    <w:rsid w:val="3F4F5AD7"/>
    <w:rsid w:val="3F537FF3"/>
    <w:rsid w:val="3F5D0DD6"/>
    <w:rsid w:val="3F5D1180"/>
    <w:rsid w:val="3F6B75A6"/>
    <w:rsid w:val="3F840943"/>
    <w:rsid w:val="3F8C0A49"/>
    <w:rsid w:val="3F913853"/>
    <w:rsid w:val="3F9660C3"/>
    <w:rsid w:val="3F966B9F"/>
    <w:rsid w:val="3FA827ED"/>
    <w:rsid w:val="3FAE45A4"/>
    <w:rsid w:val="3FB45C58"/>
    <w:rsid w:val="3FBA5EFD"/>
    <w:rsid w:val="3FC36557"/>
    <w:rsid w:val="3FC956FF"/>
    <w:rsid w:val="3FD13F50"/>
    <w:rsid w:val="3FDC5F31"/>
    <w:rsid w:val="3FDD07D5"/>
    <w:rsid w:val="3FE04625"/>
    <w:rsid w:val="3FE24B94"/>
    <w:rsid w:val="3FE86CE8"/>
    <w:rsid w:val="3FF7456C"/>
    <w:rsid w:val="3FFA4676"/>
    <w:rsid w:val="3FFB0F66"/>
    <w:rsid w:val="40007A90"/>
    <w:rsid w:val="40146E6B"/>
    <w:rsid w:val="401D46D5"/>
    <w:rsid w:val="403052F1"/>
    <w:rsid w:val="40345E51"/>
    <w:rsid w:val="404469FD"/>
    <w:rsid w:val="40465232"/>
    <w:rsid w:val="404A2717"/>
    <w:rsid w:val="404E779F"/>
    <w:rsid w:val="4053018C"/>
    <w:rsid w:val="40570178"/>
    <w:rsid w:val="4059090D"/>
    <w:rsid w:val="406277A4"/>
    <w:rsid w:val="4065170A"/>
    <w:rsid w:val="40687965"/>
    <w:rsid w:val="406E5CAB"/>
    <w:rsid w:val="40713C35"/>
    <w:rsid w:val="40745F23"/>
    <w:rsid w:val="40773B17"/>
    <w:rsid w:val="407965C6"/>
    <w:rsid w:val="408376F8"/>
    <w:rsid w:val="40963652"/>
    <w:rsid w:val="40A25054"/>
    <w:rsid w:val="40A325E0"/>
    <w:rsid w:val="40BD0DA1"/>
    <w:rsid w:val="40EC7D18"/>
    <w:rsid w:val="40ED11A0"/>
    <w:rsid w:val="40FD1BF0"/>
    <w:rsid w:val="41096BC0"/>
    <w:rsid w:val="410A75B6"/>
    <w:rsid w:val="410B452A"/>
    <w:rsid w:val="412E1EDF"/>
    <w:rsid w:val="413353F1"/>
    <w:rsid w:val="41447C57"/>
    <w:rsid w:val="41451407"/>
    <w:rsid w:val="41513BC9"/>
    <w:rsid w:val="41730CBE"/>
    <w:rsid w:val="41735B7F"/>
    <w:rsid w:val="417907A8"/>
    <w:rsid w:val="41AC72A8"/>
    <w:rsid w:val="41C06A73"/>
    <w:rsid w:val="41D574BC"/>
    <w:rsid w:val="41D75714"/>
    <w:rsid w:val="41D95EE3"/>
    <w:rsid w:val="41DD3BC3"/>
    <w:rsid w:val="41E77C8C"/>
    <w:rsid w:val="41EE2F03"/>
    <w:rsid w:val="41F466FD"/>
    <w:rsid w:val="42002BC7"/>
    <w:rsid w:val="42026B03"/>
    <w:rsid w:val="4203048B"/>
    <w:rsid w:val="420D197F"/>
    <w:rsid w:val="421316FC"/>
    <w:rsid w:val="4218487C"/>
    <w:rsid w:val="42187EBE"/>
    <w:rsid w:val="421C3DAC"/>
    <w:rsid w:val="4227435A"/>
    <w:rsid w:val="422A59B8"/>
    <w:rsid w:val="42375131"/>
    <w:rsid w:val="424B5824"/>
    <w:rsid w:val="42610528"/>
    <w:rsid w:val="42655B81"/>
    <w:rsid w:val="42660F50"/>
    <w:rsid w:val="426973AD"/>
    <w:rsid w:val="427A67A1"/>
    <w:rsid w:val="427E0B36"/>
    <w:rsid w:val="42895E35"/>
    <w:rsid w:val="429C1193"/>
    <w:rsid w:val="42A03D98"/>
    <w:rsid w:val="42A21649"/>
    <w:rsid w:val="42B2706C"/>
    <w:rsid w:val="42B9333F"/>
    <w:rsid w:val="42B94BC1"/>
    <w:rsid w:val="42C30254"/>
    <w:rsid w:val="42C42A08"/>
    <w:rsid w:val="42D064B1"/>
    <w:rsid w:val="42DB5C3F"/>
    <w:rsid w:val="42DE48A3"/>
    <w:rsid w:val="42E16058"/>
    <w:rsid w:val="42E66EDA"/>
    <w:rsid w:val="42F01DCB"/>
    <w:rsid w:val="42F17BF5"/>
    <w:rsid w:val="42F87EC9"/>
    <w:rsid w:val="42FA45BF"/>
    <w:rsid w:val="430E7E66"/>
    <w:rsid w:val="43222AC0"/>
    <w:rsid w:val="4332317A"/>
    <w:rsid w:val="433F6B54"/>
    <w:rsid w:val="4346543A"/>
    <w:rsid w:val="435B1259"/>
    <w:rsid w:val="436263D5"/>
    <w:rsid w:val="437556C4"/>
    <w:rsid w:val="437871D1"/>
    <w:rsid w:val="437C3AD0"/>
    <w:rsid w:val="43874CD4"/>
    <w:rsid w:val="43AF2D32"/>
    <w:rsid w:val="43B76E4F"/>
    <w:rsid w:val="43C92044"/>
    <w:rsid w:val="43CF0206"/>
    <w:rsid w:val="43D235C5"/>
    <w:rsid w:val="43D85D6D"/>
    <w:rsid w:val="43EC6F1F"/>
    <w:rsid w:val="43F30C8A"/>
    <w:rsid w:val="43FE44BA"/>
    <w:rsid w:val="440D5045"/>
    <w:rsid w:val="44300615"/>
    <w:rsid w:val="44371929"/>
    <w:rsid w:val="443740AF"/>
    <w:rsid w:val="44480935"/>
    <w:rsid w:val="444851FA"/>
    <w:rsid w:val="44572BAD"/>
    <w:rsid w:val="4457512C"/>
    <w:rsid w:val="445E4DEE"/>
    <w:rsid w:val="44640994"/>
    <w:rsid w:val="446456BB"/>
    <w:rsid w:val="446B0434"/>
    <w:rsid w:val="446C35F3"/>
    <w:rsid w:val="44706761"/>
    <w:rsid w:val="44756A66"/>
    <w:rsid w:val="447E4EBE"/>
    <w:rsid w:val="447F0CBA"/>
    <w:rsid w:val="44846EF4"/>
    <w:rsid w:val="448D7804"/>
    <w:rsid w:val="44957F46"/>
    <w:rsid w:val="44994CF5"/>
    <w:rsid w:val="449A491B"/>
    <w:rsid w:val="44A24696"/>
    <w:rsid w:val="44CD5F97"/>
    <w:rsid w:val="44DC46EB"/>
    <w:rsid w:val="44F03F8F"/>
    <w:rsid w:val="44F14ECF"/>
    <w:rsid w:val="450471A9"/>
    <w:rsid w:val="450C6F50"/>
    <w:rsid w:val="45115669"/>
    <w:rsid w:val="451A1C4E"/>
    <w:rsid w:val="451A5933"/>
    <w:rsid w:val="45275172"/>
    <w:rsid w:val="452754C3"/>
    <w:rsid w:val="45332511"/>
    <w:rsid w:val="45412C46"/>
    <w:rsid w:val="45514AD5"/>
    <w:rsid w:val="4552412E"/>
    <w:rsid w:val="455908C0"/>
    <w:rsid w:val="45644E09"/>
    <w:rsid w:val="45662D6A"/>
    <w:rsid w:val="45761EDD"/>
    <w:rsid w:val="45780503"/>
    <w:rsid w:val="457A7286"/>
    <w:rsid w:val="457B06AA"/>
    <w:rsid w:val="457C7D39"/>
    <w:rsid w:val="458667C4"/>
    <w:rsid w:val="458D234F"/>
    <w:rsid w:val="458F5163"/>
    <w:rsid w:val="459C5A47"/>
    <w:rsid w:val="45A82F38"/>
    <w:rsid w:val="45AC0441"/>
    <w:rsid w:val="45B047D1"/>
    <w:rsid w:val="45B45068"/>
    <w:rsid w:val="45BE6191"/>
    <w:rsid w:val="45BE648C"/>
    <w:rsid w:val="45C37881"/>
    <w:rsid w:val="45CD2126"/>
    <w:rsid w:val="460C5979"/>
    <w:rsid w:val="46110AB3"/>
    <w:rsid w:val="46143B66"/>
    <w:rsid w:val="462045E4"/>
    <w:rsid w:val="46214325"/>
    <w:rsid w:val="4626083B"/>
    <w:rsid w:val="463246EC"/>
    <w:rsid w:val="463A3547"/>
    <w:rsid w:val="46427647"/>
    <w:rsid w:val="46555DC3"/>
    <w:rsid w:val="46617DB2"/>
    <w:rsid w:val="46621065"/>
    <w:rsid w:val="46665198"/>
    <w:rsid w:val="46697236"/>
    <w:rsid w:val="46770F8B"/>
    <w:rsid w:val="467745A2"/>
    <w:rsid w:val="467C16FA"/>
    <w:rsid w:val="46894B18"/>
    <w:rsid w:val="469448C6"/>
    <w:rsid w:val="469F39B5"/>
    <w:rsid w:val="46A232B5"/>
    <w:rsid w:val="46A50B23"/>
    <w:rsid w:val="46B80AF8"/>
    <w:rsid w:val="46B87BDD"/>
    <w:rsid w:val="46D37F0B"/>
    <w:rsid w:val="46D71533"/>
    <w:rsid w:val="46E53335"/>
    <w:rsid w:val="47040E98"/>
    <w:rsid w:val="470A337F"/>
    <w:rsid w:val="47155D89"/>
    <w:rsid w:val="47253C54"/>
    <w:rsid w:val="473069AF"/>
    <w:rsid w:val="473672E7"/>
    <w:rsid w:val="473F2E3A"/>
    <w:rsid w:val="474A0EAF"/>
    <w:rsid w:val="474E50BE"/>
    <w:rsid w:val="47696F9C"/>
    <w:rsid w:val="47725A17"/>
    <w:rsid w:val="477D3243"/>
    <w:rsid w:val="478821A1"/>
    <w:rsid w:val="478837D2"/>
    <w:rsid w:val="479128A9"/>
    <w:rsid w:val="47975EDC"/>
    <w:rsid w:val="47983B19"/>
    <w:rsid w:val="479E1EC1"/>
    <w:rsid w:val="479E5E8D"/>
    <w:rsid w:val="47A3609D"/>
    <w:rsid w:val="47B22306"/>
    <w:rsid w:val="47B806D7"/>
    <w:rsid w:val="47C01792"/>
    <w:rsid w:val="47C03E43"/>
    <w:rsid w:val="47C57A48"/>
    <w:rsid w:val="47D511BD"/>
    <w:rsid w:val="480321E6"/>
    <w:rsid w:val="4808150F"/>
    <w:rsid w:val="480E6650"/>
    <w:rsid w:val="480F51A8"/>
    <w:rsid w:val="48256B1B"/>
    <w:rsid w:val="48282713"/>
    <w:rsid w:val="484417FA"/>
    <w:rsid w:val="48450ECE"/>
    <w:rsid w:val="484759CD"/>
    <w:rsid w:val="484B14EC"/>
    <w:rsid w:val="48701816"/>
    <w:rsid w:val="48713351"/>
    <w:rsid w:val="487E3BB9"/>
    <w:rsid w:val="48802846"/>
    <w:rsid w:val="48850157"/>
    <w:rsid w:val="488E3A0E"/>
    <w:rsid w:val="48B116EA"/>
    <w:rsid w:val="48B74C7A"/>
    <w:rsid w:val="48BE32BF"/>
    <w:rsid w:val="48C354EC"/>
    <w:rsid w:val="48C97EF9"/>
    <w:rsid w:val="48CB2583"/>
    <w:rsid w:val="48D429DD"/>
    <w:rsid w:val="48E01C77"/>
    <w:rsid w:val="48E22285"/>
    <w:rsid w:val="48E50D90"/>
    <w:rsid w:val="48EC0D75"/>
    <w:rsid w:val="48F906C8"/>
    <w:rsid w:val="48FA15CC"/>
    <w:rsid w:val="49007CCF"/>
    <w:rsid w:val="490277F9"/>
    <w:rsid w:val="490C3E65"/>
    <w:rsid w:val="49196BD7"/>
    <w:rsid w:val="491B63DF"/>
    <w:rsid w:val="491D63E9"/>
    <w:rsid w:val="492A068A"/>
    <w:rsid w:val="4932285C"/>
    <w:rsid w:val="493551FE"/>
    <w:rsid w:val="493E2F78"/>
    <w:rsid w:val="49474EFA"/>
    <w:rsid w:val="495217DF"/>
    <w:rsid w:val="4958367A"/>
    <w:rsid w:val="498A16CD"/>
    <w:rsid w:val="499F6692"/>
    <w:rsid w:val="49A33C27"/>
    <w:rsid w:val="49A750B5"/>
    <w:rsid w:val="49B73E16"/>
    <w:rsid w:val="49BE07DA"/>
    <w:rsid w:val="49C2238E"/>
    <w:rsid w:val="49C84AA0"/>
    <w:rsid w:val="49CF7FC7"/>
    <w:rsid w:val="49D7694D"/>
    <w:rsid w:val="49DD6D4D"/>
    <w:rsid w:val="49E515CA"/>
    <w:rsid w:val="49FC11EF"/>
    <w:rsid w:val="4A013507"/>
    <w:rsid w:val="4A0244D3"/>
    <w:rsid w:val="4A035870"/>
    <w:rsid w:val="4A255046"/>
    <w:rsid w:val="4A28799C"/>
    <w:rsid w:val="4A2E1525"/>
    <w:rsid w:val="4A2F72A1"/>
    <w:rsid w:val="4A3E43AB"/>
    <w:rsid w:val="4A4F73F7"/>
    <w:rsid w:val="4A5A2744"/>
    <w:rsid w:val="4A5A756D"/>
    <w:rsid w:val="4A785772"/>
    <w:rsid w:val="4A7B5051"/>
    <w:rsid w:val="4A89105B"/>
    <w:rsid w:val="4AA341CC"/>
    <w:rsid w:val="4AA51DAF"/>
    <w:rsid w:val="4AB605D1"/>
    <w:rsid w:val="4AB67E5C"/>
    <w:rsid w:val="4ABE6FB0"/>
    <w:rsid w:val="4AC13295"/>
    <w:rsid w:val="4AC31003"/>
    <w:rsid w:val="4AC40F4C"/>
    <w:rsid w:val="4ACC41EB"/>
    <w:rsid w:val="4AD25F33"/>
    <w:rsid w:val="4ADB2DDC"/>
    <w:rsid w:val="4AE072CB"/>
    <w:rsid w:val="4AE93159"/>
    <w:rsid w:val="4AF02EA1"/>
    <w:rsid w:val="4AF86281"/>
    <w:rsid w:val="4B072155"/>
    <w:rsid w:val="4B174032"/>
    <w:rsid w:val="4B250CF8"/>
    <w:rsid w:val="4B277E4E"/>
    <w:rsid w:val="4B315351"/>
    <w:rsid w:val="4B7C4100"/>
    <w:rsid w:val="4B830F9B"/>
    <w:rsid w:val="4B9B0C47"/>
    <w:rsid w:val="4B9D4011"/>
    <w:rsid w:val="4BB36BDD"/>
    <w:rsid w:val="4BBC374F"/>
    <w:rsid w:val="4BC32290"/>
    <w:rsid w:val="4BD0339A"/>
    <w:rsid w:val="4BF32495"/>
    <w:rsid w:val="4BFA3FA2"/>
    <w:rsid w:val="4C0103B4"/>
    <w:rsid w:val="4C2B4DDD"/>
    <w:rsid w:val="4C3025E9"/>
    <w:rsid w:val="4C562920"/>
    <w:rsid w:val="4C5D1F92"/>
    <w:rsid w:val="4C603F16"/>
    <w:rsid w:val="4C6262E0"/>
    <w:rsid w:val="4C632900"/>
    <w:rsid w:val="4C6703A3"/>
    <w:rsid w:val="4C6C6F25"/>
    <w:rsid w:val="4C6D7518"/>
    <w:rsid w:val="4C923A72"/>
    <w:rsid w:val="4C95255F"/>
    <w:rsid w:val="4CB96B0F"/>
    <w:rsid w:val="4CCA2CA6"/>
    <w:rsid w:val="4CCD100D"/>
    <w:rsid w:val="4CD315DD"/>
    <w:rsid w:val="4CDE1A81"/>
    <w:rsid w:val="4CE34E9F"/>
    <w:rsid w:val="4CF52D94"/>
    <w:rsid w:val="4D004273"/>
    <w:rsid w:val="4D131782"/>
    <w:rsid w:val="4D133494"/>
    <w:rsid w:val="4D2B086E"/>
    <w:rsid w:val="4D3267B3"/>
    <w:rsid w:val="4D3520AA"/>
    <w:rsid w:val="4D462159"/>
    <w:rsid w:val="4D465FB7"/>
    <w:rsid w:val="4D566017"/>
    <w:rsid w:val="4D613CEC"/>
    <w:rsid w:val="4D773A25"/>
    <w:rsid w:val="4D7D3EFB"/>
    <w:rsid w:val="4D8125CD"/>
    <w:rsid w:val="4D8367CC"/>
    <w:rsid w:val="4D8B0123"/>
    <w:rsid w:val="4D9E243B"/>
    <w:rsid w:val="4D9F4BBD"/>
    <w:rsid w:val="4DAF14C5"/>
    <w:rsid w:val="4DB9067A"/>
    <w:rsid w:val="4DBA4F8F"/>
    <w:rsid w:val="4DC605B6"/>
    <w:rsid w:val="4DCA0533"/>
    <w:rsid w:val="4DD732D2"/>
    <w:rsid w:val="4DDD4847"/>
    <w:rsid w:val="4DE6535D"/>
    <w:rsid w:val="4DE81F80"/>
    <w:rsid w:val="4DEB39E3"/>
    <w:rsid w:val="4DEC0985"/>
    <w:rsid w:val="4E0538A3"/>
    <w:rsid w:val="4E0E6818"/>
    <w:rsid w:val="4E27683A"/>
    <w:rsid w:val="4E354DF5"/>
    <w:rsid w:val="4E3D2324"/>
    <w:rsid w:val="4E4C1D55"/>
    <w:rsid w:val="4E4C50A3"/>
    <w:rsid w:val="4E510698"/>
    <w:rsid w:val="4E576363"/>
    <w:rsid w:val="4E635567"/>
    <w:rsid w:val="4E63744A"/>
    <w:rsid w:val="4E642C68"/>
    <w:rsid w:val="4E695D36"/>
    <w:rsid w:val="4E742982"/>
    <w:rsid w:val="4E866DFB"/>
    <w:rsid w:val="4E9C0636"/>
    <w:rsid w:val="4EA30DB6"/>
    <w:rsid w:val="4EA40AAA"/>
    <w:rsid w:val="4EA7341F"/>
    <w:rsid w:val="4EBD41B7"/>
    <w:rsid w:val="4EC04CC0"/>
    <w:rsid w:val="4EC062F0"/>
    <w:rsid w:val="4EC15329"/>
    <w:rsid w:val="4EC63BC9"/>
    <w:rsid w:val="4EC804EA"/>
    <w:rsid w:val="4ED71862"/>
    <w:rsid w:val="4EDB58B2"/>
    <w:rsid w:val="4EE925CE"/>
    <w:rsid w:val="4EEF2E30"/>
    <w:rsid w:val="4EF24828"/>
    <w:rsid w:val="4EFE7F59"/>
    <w:rsid w:val="4F016DF9"/>
    <w:rsid w:val="4F285975"/>
    <w:rsid w:val="4F2A7BF3"/>
    <w:rsid w:val="4F2E2624"/>
    <w:rsid w:val="4F4E1077"/>
    <w:rsid w:val="4F4E7DA7"/>
    <w:rsid w:val="4F52614B"/>
    <w:rsid w:val="4F546156"/>
    <w:rsid w:val="4F550A23"/>
    <w:rsid w:val="4F671A09"/>
    <w:rsid w:val="4F844A99"/>
    <w:rsid w:val="4F874A89"/>
    <w:rsid w:val="4F94662C"/>
    <w:rsid w:val="4FAB2D34"/>
    <w:rsid w:val="4FB00163"/>
    <w:rsid w:val="4FB208E7"/>
    <w:rsid w:val="4FD11690"/>
    <w:rsid w:val="4FDC4355"/>
    <w:rsid w:val="4FE30332"/>
    <w:rsid w:val="4FE70BB4"/>
    <w:rsid w:val="4FE73C01"/>
    <w:rsid w:val="4FE87C31"/>
    <w:rsid w:val="50051807"/>
    <w:rsid w:val="500815B6"/>
    <w:rsid w:val="500B39BC"/>
    <w:rsid w:val="5022123F"/>
    <w:rsid w:val="502B7315"/>
    <w:rsid w:val="503F32CF"/>
    <w:rsid w:val="5041152A"/>
    <w:rsid w:val="50421ACF"/>
    <w:rsid w:val="5042655E"/>
    <w:rsid w:val="505B6052"/>
    <w:rsid w:val="505C5D66"/>
    <w:rsid w:val="507E1B25"/>
    <w:rsid w:val="508E3B94"/>
    <w:rsid w:val="508E4492"/>
    <w:rsid w:val="5090223F"/>
    <w:rsid w:val="50924591"/>
    <w:rsid w:val="509B6236"/>
    <w:rsid w:val="50AB5EB6"/>
    <w:rsid w:val="50AE0413"/>
    <w:rsid w:val="50B16618"/>
    <w:rsid w:val="50BB6306"/>
    <w:rsid w:val="50BE6F9A"/>
    <w:rsid w:val="50C63DCB"/>
    <w:rsid w:val="50DD4592"/>
    <w:rsid w:val="50DF6379"/>
    <w:rsid w:val="50EF1C07"/>
    <w:rsid w:val="50F8688B"/>
    <w:rsid w:val="50FC4E36"/>
    <w:rsid w:val="5105169B"/>
    <w:rsid w:val="51062881"/>
    <w:rsid w:val="51081B92"/>
    <w:rsid w:val="510861B3"/>
    <w:rsid w:val="51093901"/>
    <w:rsid w:val="510956BD"/>
    <w:rsid w:val="51230220"/>
    <w:rsid w:val="512C57DC"/>
    <w:rsid w:val="51352D55"/>
    <w:rsid w:val="51471753"/>
    <w:rsid w:val="514E4912"/>
    <w:rsid w:val="515400FF"/>
    <w:rsid w:val="515D735D"/>
    <w:rsid w:val="516974E9"/>
    <w:rsid w:val="51781A83"/>
    <w:rsid w:val="51867298"/>
    <w:rsid w:val="51894D69"/>
    <w:rsid w:val="518D21E1"/>
    <w:rsid w:val="51930297"/>
    <w:rsid w:val="51953936"/>
    <w:rsid w:val="519E116A"/>
    <w:rsid w:val="51A2793A"/>
    <w:rsid w:val="51A67E0E"/>
    <w:rsid w:val="51B30516"/>
    <w:rsid w:val="51BA0CB7"/>
    <w:rsid w:val="51C93676"/>
    <w:rsid w:val="51CB1F8D"/>
    <w:rsid w:val="51D129CA"/>
    <w:rsid w:val="51D93F8A"/>
    <w:rsid w:val="51E5046A"/>
    <w:rsid w:val="520E5E03"/>
    <w:rsid w:val="521B6C41"/>
    <w:rsid w:val="52272B85"/>
    <w:rsid w:val="523A62FD"/>
    <w:rsid w:val="523E09B5"/>
    <w:rsid w:val="5249247A"/>
    <w:rsid w:val="525466FB"/>
    <w:rsid w:val="525770DA"/>
    <w:rsid w:val="525777C6"/>
    <w:rsid w:val="525E17DE"/>
    <w:rsid w:val="52687B2A"/>
    <w:rsid w:val="526E0E82"/>
    <w:rsid w:val="52720C99"/>
    <w:rsid w:val="527901C6"/>
    <w:rsid w:val="5280722C"/>
    <w:rsid w:val="529A1C65"/>
    <w:rsid w:val="529F4F80"/>
    <w:rsid w:val="52A24532"/>
    <w:rsid w:val="52B3363A"/>
    <w:rsid w:val="52B825FC"/>
    <w:rsid w:val="52C4763C"/>
    <w:rsid w:val="52C51658"/>
    <w:rsid w:val="52C6080F"/>
    <w:rsid w:val="52CE44E6"/>
    <w:rsid w:val="52D10CEE"/>
    <w:rsid w:val="52DE691D"/>
    <w:rsid w:val="52E04D27"/>
    <w:rsid w:val="52ED0C96"/>
    <w:rsid w:val="53061721"/>
    <w:rsid w:val="530C0E6B"/>
    <w:rsid w:val="532C6DCC"/>
    <w:rsid w:val="532F77EA"/>
    <w:rsid w:val="5333550F"/>
    <w:rsid w:val="53364F5D"/>
    <w:rsid w:val="533933AA"/>
    <w:rsid w:val="533B7F54"/>
    <w:rsid w:val="5343196D"/>
    <w:rsid w:val="535009E1"/>
    <w:rsid w:val="5352474D"/>
    <w:rsid w:val="53542621"/>
    <w:rsid w:val="53557606"/>
    <w:rsid w:val="53650168"/>
    <w:rsid w:val="536C2A29"/>
    <w:rsid w:val="53766D1C"/>
    <w:rsid w:val="53836AFA"/>
    <w:rsid w:val="538859E4"/>
    <w:rsid w:val="538F5AF2"/>
    <w:rsid w:val="539C2D37"/>
    <w:rsid w:val="53A20FFA"/>
    <w:rsid w:val="53A233E4"/>
    <w:rsid w:val="53A94C48"/>
    <w:rsid w:val="53AA7BC7"/>
    <w:rsid w:val="53AE0779"/>
    <w:rsid w:val="53AE5EA5"/>
    <w:rsid w:val="53B00B1F"/>
    <w:rsid w:val="53B2409D"/>
    <w:rsid w:val="53BD6FA3"/>
    <w:rsid w:val="53D6247A"/>
    <w:rsid w:val="53DB3477"/>
    <w:rsid w:val="53E77CBF"/>
    <w:rsid w:val="53F8424E"/>
    <w:rsid w:val="53FE7128"/>
    <w:rsid w:val="54247F22"/>
    <w:rsid w:val="542C29CD"/>
    <w:rsid w:val="542F1551"/>
    <w:rsid w:val="54381756"/>
    <w:rsid w:val="54596DB5"/>
    <w:rsid w:val="545A1EBF"/>
    <w:rsid w:val="54641104"/>
    <w:rsid w:val="54684287"/>
    <w:rsid w:val="54717CCC"/>
    <w:rsid w:val="54727478"/>
    <w:rsid w:val="549D0132"/>
    <w:rsid w:val="54B06F11"/>
    <w:rsid w:val="54B56DF4"/>
    <w:rsid w:val="54B93943"/>
    <w:rsid w:val="54BE5578"/>
    <w:rsid w:val="54BF52B5"/>
    <w:rsid w:val="54CB7F48"/>
    <w:rsid w:val="54D202CA"/>
    <w:rsid w:val="54D54E59"/>
    <w:rsid w:val="54DD41DB"/>
    <w:rsid w:val="54E43C38"/>
    <w:rsid w:val="54ED3D78"/>
    <w:rsid w:val="54F02D69"/>
    <w:rsid w:val="54F52BA3"/>
    <w:rsid w:val="54F54E04"/>
    <w:rsid w:val="550B4121"/>
    <w:rsid w:val="550D5CFC"/>
    <w:rsid w:val="55197997"/>
    <w:rsid w:val="551B356A"/>
    <w:rsid w:val="551E7C84"/>
    <w:rsid w:val="552A6B56"/>
    <w:rsid w:val="5532385A"/>
    <w:rsid w:val="553E1482"/>
    <w:rsid w:val="554748F2"/>
    <w:rsid w:val="554B5B7F"/>
    <w:rsid w:val="554D414C"/>
    <w:rsid w:val="554E7279"/>
    <w:rsid w:val="555523EA"/>
    <w:rsid w:val="55594FFB"/>
    <w:rsid w:val="555D2DFD"/>
    <w:rsid w:val="55637CEB"/>
    <w:rsid w:val="55716C7A"/>
    <w:rsid w:val="55757FB9"/>
    <w:rsid w:val="55884237"/>
    <w:rsid w:val="558C7FAA"/>
    <w:rsid w:val="559C353C"/>
    <w:rsid w:val="55A03EEB"/>
    <w:rsid w:val="55A25EB7"/>
    <w:rsid w:val="55A82784"/>
    <w:rsid w:val="55A97512"/>
    <w:rsid w:val="55B63FD5"/>
    <w:rsid w:val="55C35A76"/>
    <w:rsid w:val="55D40743"/>
    <w:rsid w:val="55DD6F2A"/>
    <w:rsid w:val="55E8339E"/>
    <w:rsid w:val="55E92876"/>
    <w:rsid w:val="55F06771"/>
    <w:rsid w:val="56013311"/>
    <w:rsid w:val="56106284"/>
    <w:rsid w:val="562339AD"/>
    <w:rsid w:val="562A776B"/>
    <w:rsid w:val="5632642A"/>
    <w:rsid w:val="56375B61"/>
    <w:rsid w:val="56431AFC"/>
    <w:rsid w:val="56462238"/>
    <w:rsid w:val="564944F4"/>
    <w:rsid w:val="564C7B44"/>
    <w:rsid w:val="564E5820"/>
    <w:rsid w:val="565D2FED"/>
    <w:rsid w:val="56630C00"/>
    <w:rsid w:val="567739D2"/>
    <w:rsid w:val="5686536D"/>
    <w:rsid w:val="568B1DB1"/>
    <w:rsid w:val="568B2BAE"/>
    <w:rsid w:val="568B2D64"/>
    <w:rsid w:val="56A55214"/>
    <w:rsid w:val="56A67978"/>
    <w:rsid w:val="56AC63C5"/>
    <w:rsid w:val="56B60932"/>
    <w:rsid w:val="56B61F71"/>
    <w:rsid w:val="56C1700B"/>
    <w:rsid w:val="56D25618"/>
    <w:rsid w:val="56E84A97"/>
    <w:rsid w:val="57011F3E"/>
    <w:rsid w:val="5705646B"/>
    <w:rsid w:val="57060649"/>
    <w:rsid w:val="571A7A1F"/>
    <w:rsid w:val="57214480"/>
    <w:rsid w:val="5732705F"/>
    <w:rsid w:val="5734308D"/>
    <w:rsid w:val="57351D6F"/>
    <w:rsid w:val="5750195B"/>
    <w:rsid w:val="575556C1"/>
    <w:rsid w:val="576476C1"/>
    <w:rsid w:val="577B3337"/>
    <w:rsid w:val="579E7733"/>
    <w:rsid w:val="57A33734"/>
    <w:rsid w:val="57AB6ADD"/>
    <w:rsid w:val="57BD72A7"/>
    <w:rsid w:val="57BE5838"/>
    <w:rsid w:val="57C85610"/>
    <w:rsid w:val="57FC07D9"/>
    <w:rsid w:val="57FF6992"/>
    <w:rsid w:val="58021C8C"/>
    <w:rsid w:val="580D1F08"/>
    <w:rsid w:val="580F1B21"/>
    <w:rsid w:val="581B7E79"/>
    <w:rsid w:val="58276B45"/>
    <w:rsid w:val="582A1A99"/>
    <w:rsid w:val="58342AEA"/>
    <w:rsid w:val="58403228"/>
    <w:rsid w:val="584D5888"/>
    <w:rsid w:val="58500F22"/>
    <w:rsid w:val="58587379"/>
    <w:rsid w:val="585D5BB3"/>
    <w:rsid w:val="585E3E88"/>
    <w:rsid w:val="5860518C"/>
    <w:rsid w:val="586D57A3"/>
    <w:rsid w:val="587917A0"/>
    <w:rsid w:val="587A4288"/>
    <w:rsid w:val="5880052B"/>
    <w:rsid w:val="58832326"/>
    <w:rsid w:val="589E5C53"/>
    <w:rsid w:val="58AC41AA"/>
    <w:rsid w:val="58AD27D9"/>
    <w:rsid w:val="58B169A2"/>
    <w:rsid w:val="58B9636C"/>
    <w:rsid w:val="58C37133"/>
    <w:rsid w:val="58C64786"/>
    <w:rsid w:val="58C93046"/>
    <w:rsid w:val="58CB483C"/>
    <w:rsid w:val="58CC44BC"/>
    <w:rsid w:val="58CF5440"/>
    <w:rsid w:val="58D36BCB"/>
    <w:rsid w:val="58D52BCD"/>
    <w:rsid w:val="58D66E1C"/>
    <w:rsid w:val="58E6349C"/>
    <w:rsid w:val="58ED7D90"/>
    <w:rsid w:val="58EF63EE"/>
    <w:rsid w:val="590317F0"/>
    <w:rsid w:val="5907442B"/>
    <w:rsid w:val="59075000"/>
    <w:rsid w:val="5912595C"/>
    <w:rsid w:val="59200EBC"/>
    <w:rsid w:val="593559FD"/>
    <w:rsid w:val="593C1020"/>
    <w:rsid w:val="593C34D9"/>
    <w:rsid w:val="594079B2"/>
    <w:rsid w:val="5942577F"/>
    <w:rsid w:val="594A13D7"/>
    <w:rsid w:val="59524851"/>
    <w:rsid w:val="596B0B42"/>
    <w:rsid w:val="596B38A7"/>
    <w:rsid w:val="5972655B"/>
    <w:rsid w:val="5987482A"/>
    <w:rsid w:val="59904485"/>
    <w:rsid w:val="599C49A8"/>
    <w:rsid w:val="59A36725"/>
    <w:rsid w:val="59A85123"/>
    <w:rsid w:val="59B07FB1"/>
    <w:rsid w:val="59B13FF3"/>
    <w:rsid w:val="59B21BF9"/>
    <w:rsid w:val="59BB1BC6"/>
    <w:rsid w:val="59BB4EA3"/>
    <w:rsid w:val="59E9525B"/>
    <w:rsid w:val="59ED369A"/>
    <w:rsid w:val="5A011A3B"/>
    <w:rsid w:val="5A0E332F"/>
    <w:rsid w:val="5A3C0F08"/>
    <w:rsid w:val="5A3E5B83"/>
    <w:rsid w:val="5A4A0FD5"/>
    <w:rsid w:val="5A562A4C"/>
    <w:rsid w:val="5A5663A3"/>
    <w:rsid w:val="5A571746"/>
    <w:rsid w:val="5A5907CA"/>
    <w:rsid w:val="5A6253E3"/>
    <w:rsid w:val="5A8E6670"/>
    <w:rsid w:val="5A912613"/>
    <w:rsid w:val="5A9245E9"/>
    <w:rsid w:val="5A953D41"/>
    <w:rsid w:val="5ABC50F4"/>
    <w:rsid w:val="5AC33874"/>
    <w:rsid w:val="5ACC4940"/>
    <w:rsid w:val="5AD71465"/>
    <w:rsid w:val="5AD86A6D"/>
    <w:rsid w:val="5AEC14F6"/>
    <w:rsid w:val="5AF078D1"/>
    <w:rsid w:val="5AF124A4"/>
    <w:rsid w:val="5AF809EC"/>
    <w:rsid w:val="5B137BF9"/>
    <w:rsid w:val="5B141085"/>
    <w:rsid w:val="5B220213"/>
    <w:rsid w:val="5B28192B"/>
    <w:rsid w:val="5B2E7D32"/>
    <w:rsid w:val="5B402461"/>
    <w:rsid w:val="5B600DA9"/>
    <w:rsid w:val="5B631C92"/>
    <w:rsid w:val="5B66707B"/>
    <w:rsid w:val="5B673066"/>
    <w:rsid w:val="5B6F4CBD"/>
    <w:rsid w:val="5B785E83"/>
    <w:rsid w:val="5B7C1CD1"/>
    <w:rsid w:val="5B9251EF"/>
    <w:rsid w:val="5BA7684F"/>
    <w:rsid w:val="5BAB5BC4"/>
    <w:rsid w:val="5BB20B74"/>
    <w:rsid w:val="5BB85FE1"/>
    <w:rsid w:val="5BC677D8"/>
    <w:rsid w:val="5BC71659"/>
    <w:rsid w:val="5BE26FCC"/>
    <w:rsid w:val="5BE96C97"/>
    <w:rsid w:val="5BEB0120"/>
    <w:rsid w:val="5C057E77"/>
    <w:rsid w:val="5C097C4E"/>
    <w:rsid w:val="5C1A3A93"/>
    <w:rsid w:val="5C1E1E5E"/>
    <w:rsid w:val="5C235386"/>
    <w:rsid w:val="5C3B6CFC"/>
    <w:rsid w:val="5C423F4D"/>
    <w:rsid w:val="5C487355"/>
    <w:rsid w:val="5C4C2CF4"/>
    <w:rsid w:val="5C5400D3"/>
    <w:rsid w:val="5C562457"/>
    <w:rsid w:val="5C6B1600"/>
    <w:rsid w:val="5C7D70D1"/>
    <w:rsid w:val="5C8542A8"/>
    <w:rsid w:val="5C8749DF"/>
    <w:rsid w:val="5C937232"/>
    <w:rsid w:val="5C9664F6"/>
    <w:rsid w:val="5C9D292C"/>
    <w:rsid w:val="5CA1479B"/>
    <w:rsid w:val="5CA6294E"/>
    <w:rsid w:val="5CB0091F"/>
    <w:rsid w:val="5CB514F3"/>
    <w:rsid w:val="5CB60B44"/>
    <w:rsid w:val="5CC340BC"/>
    <w:rsid w:val="5CC85FC5"/>
    <w:rsid w:val="5CDB3358"/>
    <w:rsid w:val="5CED4E0C"/>
    <w:rsid w:val="5CFD3E7C"/>
    <w:rsid w:val="5D034EE9"/>
    <w:rsid w:val="5D0366E8"/>
    <w:rsid w:val="5D044FED"/>
    <w:rsid w:val="5D0A06B6"/>
    <w:rsid w:val="5D0F1FBD"/>
    <w:rsid w:val="5D1307E8"/>
    <w:rsid w:val="5D174E5B"/>
    <w:rsid w:val="5D212A05"/>
    <w:rsid w:val="5D2F4802"/>
    <w:rsid w:val="5D3444E6"/>
    <w:rsid w:val="5D3F0BDF"/>
    <w:rsid w:val="5D48142C"/>
    <w:rsid w:val="5D5B7098"/>
    <w:rsid w:val="5D620742"/>
    <w:rsid w:val="5D634782"/>
    <w:rsid w:val="5D693F0E"/>
    <w:rsid w:val="5D6E1B86"/>
    <w:rsid w:val="5D790367"/>
    <w:rsid w:val="5D7B386B"/>
    <w:rsid w:val="5D7C3AA3"/>
    <w:rsid w:val="5D7C7286"/>
    <w:rsid w:val="5D8A0472"/>
    <w:rsid w:val="5D8A2CFF"/>
    <w:rsid w:val="5D960EE9"/>
    <w:rsid w:val="5D9A0CFA"/>
    <w:rsid w:val="5DA35DEF"/>
    <w:rsid w:val="5DB052AA"/>
    <w:rsid w:val="5DBF2F00"/>
    <w:rsid w:val="5DD14397"/>
    <w:rsid w:val="5DD3123F"/>
    <w:rsid w:val="5DD71C7A"/>
    <w:rsid w:val="5DD734EC"/>
    <w:rsid w:val="5DDD641A"/>
    <w:rsid w:val="5DEC05A1"/>
    <w:rsid w:val="5DFD51DB"/>
    <w:rsid w:val="5E040CAD"/>
    <w:rsid w:val="5E0B0848"/>
    <w:rsid w:val="5E1D4A67"/>
    <w:rsid w:val="5E237029"/>
    <w:rsid w:val="5E2D4789"/>
    <w:rsid w:val="5E3A3BD1"/>
    <w:rsid w:val="5E4D7446"/>
    <w:rsid w:val="5E5203B8"/>
    <w:rsid w:val="5E654AED"/>
    <w:rsid w:val="5E6A5399"/>
    <w:rsid w:val="5E71373F"/>
    <w:rsid w:val="5E717191"/>
    <w:rsid w:val="5E734892"/>
    <w:rsid w:val="5E830708"/>
    <w:rsid w:val="5E831398"/>
    <w:rsid w:val="5E85633A"/>
    <w:rsid w:val="5E921A45"/>
    <w:rsid w:val="5E975993"/>
    <w:rsid w:val="5EB51FDE"/>
    <w:rsid w:val="5EBA4472"/>
    <w:rsid w:val="5EC4038A"/>
    <w:rsid w:val="5ECA3D37"/>
    <w:rsid w:val="5EE153F8"/>
    <w:rsid w:val="5EED7893"/>
    <w:rsid w:val="5F0842F6"/>
    <w:rsid w:val="5F0A3A61"/>
    <w:rsid w:val="5F683B6E"/>
    <w:rsid w:val="5F742691"/>
    <w:rsid w:val="5F8416C1"/>
    <w:rsid w:val="5F875C0C"/>
    <w:rsid w:val="5F8B03DB"/>
    <w:rsid w:val="5F8F0B9E"/>
    <w:rsid w:val="5F8F267A"/>
    <w:rsid w:val="5F9E5F96"/>
    <w:rsid w:val="5FB94C48"/>
    <w:rsid w:val="5FCE4FD3"/>
    <w:rsid w:val="5FF37587"/>
    <w:rsid w:val="5FFE57B7"/>
    <w:rsid w:val="60060CD5"/>
    <w:rsid w:val="600762FF"/>
    <w:rsid w:val="60085AA3"/>
    <w:rsid w:val="600C34C4"/>
    <w:rsid w:val="600D1D0C"/>
    <w:rsid w:val="600E362B"/>
    <w:rsid w:val="60183392"/>
    <w:rsid w:val="601A4CB1"/>
    <w:rsid w:val="602C236D"/>
    <w:rsid w:val="603967D7"/>
    <w:rsid w:val="603D3325"/>
    <w:rsid w:val="60470CE3"/>
    <w:rsid w:val="604A6A1F"/>
    <w:rsid w:val="605C3003"/>
    <w:rsid w:val="60641A9C"/>
    <w:rsid w:val="60673C40"/>
    <w:rsid w:val="606A52D4"/>
    <w:rsid w:val="607A029B"/>
    <w:rsid w:val="607C3753"/>
    <w:rsid w:val="608043BB"/>
    <w:rsid w:val="608761E2"/>
    <w:rsid w:val="608C1EF4"/>
    <w:rsid w:val="608D1D4E"/>
    <w:rsid w:val="6092569C"/>
    <w:rsid w:val="60AD0357"/>
    <w:rsid w:val="60AF7434"/>
    <w:rsid w:val="60B004BE"/>
    <w:rsid w:val="60BA604C"/>
    <w:rsid w:val="60C30855"/>
    <w:rsid w:val="60C338B1"/>
    <w:rsid w:val="60D35C0D"/>
    <w:rsid w:val="60D4742F"/>
    <w:rsid w:val="60D95276"/>
    <w:rsid w:val="60E06DEB"/>
    <w:rsid w:val="60E51841"/>
    <w:rsid w:val="60E53887"/>
    <w:rsid w:val="60F129EA"/>
    <w:rsid w:val="61063DBC"/>
    <w:rsid w:val="61110088"/>
    <w:rsid w:val="611543D6"/>
    <w:rsid w:val="61421EFD"/>
    <w:rsid w:val="6144656F"/>
    <w:rsid w:val="61486149"/>
    <w:rsid w:val="615C5041"/>
    <w:rsid w:val="61676636"/>
    <w:rsid w:val="6182260C"/>
    <w:rsid w:val="618C1883"/>
    <w:rsid w:val="619117A1"/>
    <w:rsid w:val="61972EF8"/>
    <w:rsid w:val="61C60977"/>
    <w:rsid w:val="61D37C8C"/>
    <w:rsid w:val="61D43A2B"/>
    <w:rsid w:val="61D61317"/>
    <w:rsid w:val="61DB091C"/>
    <w:rsid w:val="61DF3A9F"/>
    <w:rsid w:val="61F112FF"/>
    <w:rsid w:val="61FF316E"/>
    <w:rsid w:val="620F4BAD"/>
    <w:rsid w:val="621542CB"/>
    <w:rsid w:val="621A2B05"/>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92B37"/>
    <w:rsid w:val="62E97D27"/>
    <w:rsid w:val="62F6011A"/>
    <w:rsid w:val="632624E0"/>
    <w:rsid w:val="6327422B"/>
    <w:rsid w:val="632D369F"/>
    <w:rsid w:val="6333152F"/>
    <w:rsid w:val="633B249F"/>
    <w:rsid w:val="634D3C76"/>
    <w:rsid w:val="634D7789"/>
    <w:rsid w:val="63552D76"/>
    <w:rsid w:val="6359778B"/>
    <w:rsid w:val="635B63E3"/>
    <w:rsid w:val="63776102"/>
    <w:rsid w:val="63783BC0"/>
    <w:rsid w:val="638C3395"/>
    <w:rsid w:val="639623D1"/>
    <w:rsid w:val="639E76D8"/>
    <w:rsid w:val="639F3A80"/>
    <w:rsid w:val="63A14DDA"/>
    <w:rsid w:val="63A6046B"/>
    <w:rsid w:val="63B159B9"/>
    <w:rsid w:val="63BA3154"/>
    <w:rsid w:val="63BD710D"/>
    <w:rsid w:val="63CA2E8B"/>
    <w:rsid w:val="63E333C1"/>
    <w:rsid w:val="63F47D2A"/>
    <w:rsid w:val="63FE2D33"/>
    <w:rsid w:val="64103F57"/>
    <w:rsid w:val="64113810"/>
    <w:rsid w:val="64264A79"/>
    <w:rsid w:val="64304E58"/>
    <w:rsid w:val="64311867"/>
    <w:rsid w:val="64391ED3"/>
    <w:rsid w:val="643C409B"/>
    <w:rsid w:val="6445632E"/>
    <w:rsid w:val="644A3F19"/>
    <w:rsid w:val="64585750"/>
    <w:rsid w:val="645E7889"/>
    <w:rsid w:val="64623C90"/>
    <w:rsid w:val="647D566C"/>
    <w:rsid w:val="648939AA"/>
    <w:rsid w:val="648F468F"/>
    <w:rsid w:val="649B1AC2"/>
    <w:rsid w:val="64A7467B"/>
    <w:rsid w:val="64C86505"/>
    <w:rsid w:val="64E657A5"/>
    <w:rsid w:val="64FE700F"/>
    <w:rsid w:val="6500327F"/>
    <w:rsid w:val="6506609B"/>
    <w:rsid w:val="65083216"/>
    <w:rsid w:val="65084E45"/>
    <w:rsid w:val="652D418B"/>
    <w:rsid w:val="653C3417"/>
    <w:rsid w:val="65460728"/>
    <w:rsid w:val="654B153D"/>
    <w:rsid w:val="654D3BF2"/>
    <w:rsid w:val="656868EF"/>
    <w:rsid w:val="657A608F"/>
    <w:rsid w:val="657D778E"/>
    <w:rsid w:val="65822810"/>
    <w:rsid w:val="65870C45"/>
    <w:rsid w:val="65AA6346"/>
    <w:rsid w:val="65AC5BF0"/>
    <w:rsid w:val="65B56C47"/>
    <w:rsid w:val="65B8262E"/>
    <w:rsid w:val="65BC15EE"/>
    <w:rsid w:val="65BD59F8"/>
    <w:rsid w:val="65C74F5E"/>
    <w:rsid w:val="65D23D59"/>
    <w:rsid w:val="65D4773F"/>
    <w:rsid w:val="65DC5939"/>
    <w:rsid w:val="65DC7985"/>
    <w:rsid w:val="65E26649"/>
    <w:rsid w:val="65F14641"/>
    <w:rsid w:val="65F17C39"/>
    <w:rsid w:val="65F5655C"/>
    <w:rsid w:val="65FC0C8E"/>
    <w:rsid w:val="65FF006B"/>
    <w:rsid w:val="66052F43"/>
    <w:rsid w:val="6609487E"/>
    <w:rsid w:val="661D25CE"/>
    <w:rsid w:val="66206CF2"/>
    <w:rsid w:val="66265846"/>
    <w:rsid w:val="66287C9C"/>
    <w:rsid w:val="663366CF"/>
    <w:rsid w:val="66407F26"/>
    <w:rsid w:val="664805B8"/>
    <w:rsid w:val="664F7AE6"/>
    <w:rsid w:val="66566122"/>
    <w:rsid w:val="665B55EA"/>
    <w:rsid w:val="66655F85"/>
    <w:rsid w:val="666D1BC7"/>
    <w:rsid w:val="667C7AEC"/>
    <w:rsid w:val="66984358"/>
    <w:rsid w:val="669B7C76"/>
    <w:rsid w:val="66A200F8"/>
    <w:rsid w:val="66A30EC2"/>
    <w:rsid w:val="66AA4BA8"/>
    <w:rsid w:val="66C955BD"/>
    <w:rsid w:val="66D31898"/>
    <w:rsid w:val="66DC317D"/>
    <w:rsid w:val="66EB4314"/>
    <w:rsid w:val="670C6D27"/>
    <w:rsid w:val="670D579F"/>
    <w:rsid w:val="670D67CE"/>
    <w:rsid w:val="67105BAB"/>
    <w:rsid w:val="67127AC7"/>
    <w:rsid w:val="671B1631"/>
    <w:rsid w:val="672736CE"/>
    <w:rsid w:val="67302DC3"/>
    <w:rsid w:val="674318B2"/>
    <w:rsid w:val="674D4B22"/>
    <w:rsid w:val="67527824"/>
    <w:rsid w:val="67570422"/>
    <w:rsid w:val="675D31B4"/>
    <w:rsid w:val="67686C2C"/>
    <w:rsid w:val="676D2F4B"/>
    <w:rsid w:val="677A17D2"/>
    <w:rsid w:val="677A266A"/>
    <w:rsid w:val="677C1A81"/>
    <w:rsid w:val="67B163D1"/>
    <w:rsid w:val="67D365F8"/>
    <w:rsid w:val="67E60BCD"/>
    <w:rsid w:val="67EE3D0F"/>
    <w:rsid w:val="67F45538"/>
    <w:rsid w:val="680239EB"/>
    <w:rsid w:val="680722DA"/>
    <w:rsid w:val="681938D1"/>
    <w:rsid w:val="681F71B3"/>
    <w:rsid w:val="682211D1"/>
    <w:rsid w:val="682A2E18"/>
    <w:rsid w:val="68523B9A"/>
    <w:rsid w:val="685C6395"/>
    <w:rsid w:val="68607778"/>
    <w:rsid w:val="686318DD"/>
    <w:rsid w:val="686342D0"/>
    <w:rsid w:val="68635145"/>
    <w:rsid w:val="686F0DE5"/>
    <w:rsid w:val="687C00FB"/>
    <w:rsid w:val="687F607E"/>
    <w:rsid w:val="688E25E2"/>
    <w:rsid w:val="68A34C5C"/>
    <w:rsid w:val="68A42935"/>
    <w:rsid w:val="68B63CF9"/>
    <w:rsid w:val="68CA3183"/>
    <w:rsid w:val="68D15606"/>
    <w:rsid w:val="68E24981"/>
    <w:rsid w:val="68E31B32"/>
    <w:rsid w:val="68F73307"/>
    <w:rsid w:val="69123F86"/>
    <w:rsid w:val="691C3525"/>
    <w:rsid w:val="69216128"/>
    <w:rsid w:val="69280874"/>
    <w:rsid w:val="693A417E"/>
    <w:rsid w:val="69430C28"/>
    <w:rsid w:val="695D6B21"/>
    <w:rsid w:val="695E22F2"/>
    <w:rsid w:val="69611EE7"/>
    <w:rsid w:val="69667335"/>
    <w:rsid w:val="696C708E"/>
    <w:rsid w:val="696F4D5D"/>
    <w:rsid w:val="69722623"/>
    <w:rsid w:val="69850877"/>
    <w:rsid w:val="698C13C5"/>
    <w:rsid w:val="69AC040E"/>
    <w:rsid w:val="69C8265A"/>
    <w:rsid w:val="69D94209"/>
    <w:rsid w:val="69DC44FD"/>
    <w:rsid w:val="69EA1A07"/>
    <w:rsid w:val="69EE7649"/>
    <w:rsid w:val="69F0745A"/>
    <w:rsid w:val="6A1141CC"/>
    <w:rsid w:val="6A151116"/>
    <w:rsid w:val="6A1D59EC"/>
    <w:rsid w:val="6A247F72"/>
    <w:rsid w:val="6A2E7AC1"/>
    <w:rsid w:val="6A3E2393"/>
    <w:rsid w:val="6A435B92"/>
    <w:rsid w:val="6A444DB8"/>
    <w:rsid w:val="6A4D4828"/>
    <w:rsid w:val="6A516AC3"/>
    <w:rsid w:val="6A5303BA"/>
    <w:rsid w:val="6A5A54D2"/>
    <w:rsid w:val="6A677080"/>
    <w:rsid w:val="6A696621"/>
    <w:rsid w:val="6A711183"/>
    <w:rsid w:val="6A762B91"/>
    <w:rsid w:val="6A7B4B9C"/>
    <w:rsid w:val="6A922C56"/>
    <w:rsid w:val="6AAF014C"/>
    <w:rsid w:val="6ACB082B"/>
    <w:rsid w:val="6AD3247E"/>
    <w:rsid w:val="6AE308A6"/>
    <w:rsid w:val="6B046820"/>
    <w:rsid w:val="6B156AE0"/>
    <w:rsid w:val="6B1D6FAB"/>
    <w:rsid w:val="6B287FBE"/>
    <w:rsid w:val="6B2B0EFD"/>
    <w:rsid w:val="6B2C13E4"/>
    <w:rsid w:val="6B2F19CE"/>
    <w:rsid w:val="6B371AA7"/>
    <w:rsid w:val="6B3C43FB"/>
    <w:rsid w:val="6B4B0A4C"/>
    <w:rsid w:val="6B50310B"/>
    <w:rsid w:val="6B5045E2"/>
    <w:rsid w:val="6B63243A"/>
    <w:rsid w:val="6B736A2E"/>
    <w:rsid w:val="6B7C51E5"/>
    <w:rsid w:val="6B8170D6"/>
    <w:rsid w:val="6B884219"/>
    <w:rsid w:val="6B90781F"/>
    <w:rsid w:val="6BA9194F"/>
    <w:rsid w:val="6BCC3362"/>
    <w:rsid w:val="6BE402C8"/>
    <w:rsid w:val="6BE727F5"/>
    <w:rsid w:val="6BE83A33"/>
    <w:rsid w:val="6BFD6EE1"/>
    <w:rsid w:val="6C155534"/>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973076"/>
    <w:rsid w:val="6CA20D5B"/>
    <w:rsid w:val="6CCD2A39"/>
    <w:rsid w:val="6CD63FB3"/>
    <w:rsid w:val="6CD742CC"/>
    <w:rsid w:val="6CF952B4"/>
    <w:rsid w:val="6D056EA6"/>
    <w:rsid w:val="6D06056F"/>
    <w:rsid w:val="6D221E52"/>
    <w:rsid w:val="6D227835"/>
    <w:rsid w:val="6D2B0A2A"/>
    <w:rsid w:val="6D3C6626"/>
    <w:rsid w:val="6D4B0E7D"/>
    <w:rsid w:val="6D5D0DB5"/>
    <w:rsid w:val="6D6855B1"/>
    <w:rsid w:val="6D7B4AB7"/>
    <w:rsid w:val="6D842A6D"/>
    <w:rsid w:val="6D853DB6"/>
    <w:rsid w:val="6D89784B"/>
    <w:rsid w:val="6D9E0566"/>
    <w:rsid w:val="6DC1541F"/>
    <w:rsid w:val="6DDC72CD"/>
    <w:rsid w:val="6DED3A19"/>
    <w:rsid w:val="6DF43BD4"/>
    <w:rsid w:val="6E000622"/>
    <w:rsid w:val="6E0E1FAB"/>
    <w:rsid w:val="6E2143FB"/>
    <w:rsid w:val="6E2C6EBD"/>
    <w:rsid w:val="6E317378"/>
    <w:rsid w:val="6E334459"/>
    <w:rsid w:val="6E3C00E0"/>
    <w:rsid w:val="6E4215C6"/>
    <w:rsid w:val="6E4B0158"/>
    <w:rsid w:val="6E4D611F"/>
    <w:rsid w:val="6E4F3D89"/>
    <w:rsid w:val="6E533755"/>
    <w:rsid w:val="6E5413AD"/>
    <w:rsid w:val="6E567C9E"/>
    <w:rsid w:val="6E580E15"/>
    <w:rsid w:val="6E5B692B"/>
    <w:rsid w:val="6E5D796A"/>
    <w:rsid w:val="6E635028"/>
    <w:rsid w:val="6E636A71"/>
    <w:rsid w:val="6E685B0A"/>
    <w:rsid w:val="6E695F11"/>
    <w:rsid w:val="6E73404A"/>
    <w:rsid w:val="6E7355AA"/>
    <w:rsid w:val="6E7E3BB7"/>
    <w:rsid w:val="6E7E49A7"/>
    <w:rsid w:val="6E857922"/>
    <w:rsid w:val="6E920B5B"/>
    <w:rsid w:val="6E990B16"/>
    <w:rsid w:val="6E9A3775"/>
    <w:rsid w:val="6EA10310"/>
    <w:rsid w:val="6EA50F15"/>
    <w:rsid w:val="6EB169D3"/>
    <w:rsid w:val="6EB829B1"/>
    <w:rsid w:val="6EB978A9"/>
    <w:rsid w:val="6EC42765"/>
    <w:rsid w:val="6ECC3A24"/>
    <w:rsid w:val="6ED86D3E"/>
    <w:rsid w:val="6EDD143D"/>
    <w:rsid w:val="6EDD7A49"/>
    <w:rsid w:val="6EDE559B"/>
    <w:rsid w:val="6EE9744F"/>
    <w:rsid w:val="6EEC3F7C"/>
    <w:rsid w:val="6EFE1485"/>
    <w:rsid w:val="6F031F8E"/>
    <w:rsid w:val="6F0425B3"/>
    <w:rsid w:val="6F0D382C"/>
    <w:rsid w:val="6F1859D0"/>
    <w:rsid w:val="6F1B27CA"/>
    <w:rsid w:val="6F2632E8"/>
    <w:rsid w:val="6F30363A"/>
    <w:rsid w:val="6F3316E5"/>
    <w:rsid w:val="6F3F40F9"/>
    <w:rsid w:val="6F6F14E1"/>
    <w:rsid w:val="6F85366A"/>
    <w:rsid w:val="6F90702F"/>
    <w:rsid w:val="6FA629D4"/>
    <w:rsid w:val="6FA75ADB"/>
    <w:rsid w:val="6FB744A4"/>
    <w:rsid w:val="6FB77ED4"/>
    <w:rsid w:val="6FBD4D2F"/>
    <w:rsid w:val="6FBE54C9"/>
    <w:rsid w:val="6FBF4710"/>
    <w:rsid w:val="6FC27371"/>
    <w:rsid w:val="6FC9109F"/>
    <w:rsid w:val="6FC973F7"/>
    <w:rsid w:val="6FD222C4"/>
    <w:rsid w:val="6FDB518F"/>
    <w:rsid w:val="6FE529ED"/>
    <w:rsid w:val="6FF1412A"/>
    <w:rsid w:val="6FF440BA"/>
    <w:rsid w:val="6FF733A7"/>
    <w:rsid w:val="6FF93435"/>
    <w:rsid w:val="70003DD9"/>
    <w:rsid w:val="70072915"/>
    <w:rsid w:val="70172090"/>
    <w:rsid w:val="70195E88"/>
    <w:rsid w:val="701D43BA"/>
    <w:rsid w:val="702728D9"/>
    <w:rsid w:val="702B6F43"/>
    <w:rsid w:val="7032079E"/>
    <w:rsid w:val="703C186A"/>
    <w:rsid w:val="70570007"/>
    <w:rsid w:val="706A537D"/>
    <w:rsid w:val="70776C11"/>
    <w:rsid w:val="70822BAD"/>
    <w:rsid w:val="708746BC"/>
    <w:rsid w:val="708F7F54"/>
    <w:rsid w:val="709A5ECC"/>
    <w:rsid w:val="709E3D85"/>
    <w:rsid w:val="70A63EDD"/>
    <w:rsid w:val="70AC660B"/>
    <w:rsid w:val="70AE58F4"/>
    <w:rsid w:val="70B17138"/>
    <w:rsid w:val="70BB2EF0"/>
    <w:rsid w:val="70BC2801"/>
    <w:rsid w:val="70C6646C"/>
    <w:rsid w:val="70FC2D1E"/>
    <w:rsid w:val="71015D6B"/>
    <w:rsid w:val="711059F7"/>
    <w:rsid w:val="71151975"/>
    <w:rsid w:val="71151F93"/>
    <w:rsid w:val="713118C3"/>
    <w:rsid w:val="7132157F"/>
    <w:rsid w:val="71336A65"/>
    <w:rsid w:val="713B5291"/>
    <w:rsid w:val="71545B37"/>
    <w:rsid w:val="71573E01"/>
    <w:rsid w:val="71702748"/>
    <w:rsid w:val="717D79A1"/>
    <w:rsid w:val="717F0007"/>
    <w:rsid w:val="71867894"/>
    <w:rsid w:val="7192695B"/>
    <w:rsid w:val="71932861"/>
    <w:rsid w:val="719F7A78"/>
    <w:rsid w:val="71C7540C"/>
    <w:rsid w:val="71F64A63"/>
    <w:rsid w:val="71F870B8"/>
    <w:rsid w:val="72021233"/>
    <w:rsid w:val="720B2A1D"/>
    <w:rsid w:val="72174817"/>
    <w:rsid w:val="7231040E"/>
    <w:rsid w:val="72430D76"/>
    <w:rsid w:val="72445E9B"/>
    <w:rsid w:val="72671940"/>
    <w:rsid w:val="727C422C"/>
    <w:rsid w:val="7292045A"/>
    <w:rsid w:val="72974DBE"/>
    <w:rsid w:val="72A20C20"/>
    <w:rsid w:val="72AC5E95"/>
    <w:rsid w:val="72AE20F2"/>
    <w:rsid w:val="72BC63B0"/>
    <w:rsid w:val="72BF1FCE"/>
    <w:rsid w:val="72C13ED7"/>
    <w:rsid w:val="72CF1AC7"/>
    <w:rsid w:val="72DE6817"/>
    <w:rsid w:val="72E42AFA"/>
    <w:rsid w:val="72E671B2"/>
    <w:rsid w:val="72E75711"/>
    <w:rsid w:val="72E85578"/>
    <w:rsid w:val="72EB4466"/>
    <w:rsid w:val="72F92C7F"/>
    <w:rsid w:val="72FD426E"/>
    <w:rsid w:val="73043CFC"/>
    <w:rsid w:val="73161882"/>
    <w:rsid w:val="731A4C66"/>
    <w:rsid w:val="732C334F"/>
    <w:rsid w:val="73494287"/>
    <w:rsid w:val="734D52BA"/>
    <w:rsid w:val="734F0C79"/>
    <w:rsid w:val="734F4185"/>
    <w:rsid w:val="73520620"/>
    <w:rsid w:val="736249E3"/>
    <w:rsid w:val="7363274A"/>
    <w:rsid w:val="736645DE"/>
    <w:rsid w:val="73691A4A"/>
    <w:rsid w:val="737807F3"/>
    <w:rsid w:val="7388529A"/>
    <w:rsid w:val="738A6895"/>
    <w:rsid w:val="73AE76D8"/>
    <w:rsid w:val="73B04FAB"/>
    <w:rsid w:val="73BC7089"/>
    <w:rsid w:val="73BE7067"/>
    <w:rsid w:val="73DD2316"/>
    <w:rsid w:val="73E52294"/>
    <w:rsid w:val="73EF457F"/>
    <w:rsid w:val="73F26EC8"/>
    <w:rsid w:val="73FF2D64"/>
    <w:rsid w:val="7402235F"/>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5000A"/>
    <w:rsid w:val="74885F0B"/>
    <w:rsid w:val="748D52FA"/>
    <w:rsid w:val="74993216"/>
    <w:rsid w:val="749A7670"/>
    <w:rsid w:val="74A94EAA"/>
    <w:rsid w:val="74B44784"/>
    <w:rsid w:val="74B808BF"/>
    <w:rsid w:val="74CB5BC5"/>
    <w:rsid w:val="74DE41A5"/>
    <w:rsid w:val="74ED6DC4"/>
    <w:rsid w:val="75084E8F"/>
    <w:rsid w:val="751122B7"/>
    <w:rsid w:val="75137DDD"/>
    <w:rsid w:val="75171229"/>
    <w:rsid w:val="751F214A"/>
    <w:rsid w:val="75202656"/>
    <w:rsid w:val="753C7073"/>
    <w:rsid w:val="7540434E"/>
    <w:rsid w:val="755743A4"/>
    <w:rsid w:val="75632490"/>
    <w:rsid w:val="75752B04"/>
    <w:rsid w:val="758910BB"/>
    <w:rsid w:val="75955DA9"/>
    <w:rsid w:val="75977910"/>
    <w:rsid w:val="759F2A35"/>
    <w:rsid w:val="75AB15F6"/>
    <w:rsid w:val="75B15C41"/>
    <w:rsid w:val="75C30761"/>
    <w:rsid w:val="75C54845"/>
    <w:rsid w:val="75C76C47"/>
    <w:rsid w:val="75D12923"/>
    <w:rsid w:val="75E52DCA"/>
    <w:rsid w:val="75EA364B"/>
    <w:rsid w:val="75F20996"/>
    <w:rsid w:val="75F30166"/>
    <w:rsid w:val="75F96973"/>
    <w:rsid w:val="75FB6152"/>
    <w:rsid w:val="75FE5A56"/>
    <w:rsid w:val="760E1952"/>
    <w:rsid w:val="76123E1D"/>
    <w:rsid w:val="762A17C0"/>
    <w:rsid w:val="76425118"/>
    <w:rsid w:val="764838B9"/>
    <w:rsid w:val="764B15DA"/>
    <w:rsid w:val="764C09B4"/>
    <w:rsid w:val="764C3824"/>
    <w:rsid w:val="764F5A52"/>
    <w:rsid w:val="766A4A0D"/>
    <w:rsid w:val="766B37EE"/>
    <w:rsid w:val="76880357"/>
    <w:rsid w:val="7692667A"/>
    <w:rsid w:val="7693567A"/>
    <w:rsid w:val="76982273"/>
    <w:rsid w:val="769A7352"/>
    <w:rsid w:val="76A177B8"/>
    <w:rsid w:val="76AD2761"/>
    <w:rsid w:val="76B64E53"/>
    <w:rsid w:val="76B8001A"/>
    <w:rsid w:val="76B92C06"/>
    <w:rsid w:val="76BC314A"/>
    <w:rsid w:val="76CF131E"/>
    <w:rsid w:val="76CF29D3"/>
    <w:rsid w:val="76E33ABE"/>
    <w:rsid w:val="76EC51FD"/>
    <w:rsid w:val="76ED32B6"/>
    <w:rsid w:val="76ED606D"/>
    <w:rsid w:val="76F410B8"/>
    <w:rsid w:val="77070DB8"/>
    <w:rsid w:val="77194245"/>
    <w:rsid w:val="771B67DF"/>
    <w:rsid w:val="7728379B"/>
    <w:rsid w:val="77451578"/>
    <w:rsid w:val="77464BD7"/>
    <w:rsid w:val="77552DEC"/>
    <w:rsid w:val="775C033A"/>
    <w:rsid w:val="77692EA3"/>
    <w:rsid w:val="77825248"/>
    <w:rsid w:val="7785098B"/>
    <w:rsid w:val="77870D91"/>
    <w:rsid w:val="778A3229"/>
    <w:rsid w:val="778D28C3"/>
    <w:rsid w:val="779258CC"/>
    <w:rsid w:val="7794068F"/>
    <w:rsid w:val="779A096B"/>
    <w:rsid w:val="779B52FF"/>
    <w:rsid w:val="779F40DB"/>
    <w:rsid w:val="77A00E75"/>
    <w:rsid w:val="77A25449"/>
    <w:rsid w:val="77A80D17"/>
    <w:rsid w:val="77B841F3"/>
    <w:rsid w:val="77BE1830"/>
    <w:rsid w:val="77C078B1"/>
    <w:rsid w:val="77C759CB"/>
    <w:rsid w:val="77D33940"/>
    <w:rsid w:val="77E66E3C"/>
    <w:rsid w:val="77EA17B7"/>
    <w:rsid w:val="77F3789A"/>
    <w:rsid w:val="77F865B2"/>
    <w:rsid w:val="780326B9"/>
    <w:rsid w:val="78034B6F"/>
    <w:rsid w:val="7833711D"/>
    <w:rsid w:val="78497C2E"/>
    <w:rsid w:val="784A7A67"/>
    <w:rsid w:val="7854087B"/>
    <w:rsid w:val="786A4053"/>
    <w:rsid w:val="78782A0D"/>
    <w:rsid w:val="787B5060"/>
    <w:rsid w:val="787E0AC5"/>
    <w:rsid w:val="788720E7"/>
    <w:rsid w:val="78A90B04"/>
    <w:rsid w:val="78AE558D"/>
    <w:rsid w:val="78BD69DE"/>
    <w:rsid w:val="78C53485"/>
    <w:rsid w:val="78C76A01"/>
    <w:rsid w:val="78DA1003"/>
    <w:rsid w:val="78EC45D8"/>
    <w:rsid w:val="78EC6DF0"/>
    <w:rsid w:val="78F5335B"/>
    <w:rsid w:val="791843E7"/>
    <w:rsid w:val="792730E6"/>
    <w:rsid w:val="79332105"/>
    <w:rsid w:val="79395A92"/>
    <w:rsid w:val="793A736F"/>
    <w:rsid w:val="794008FB"/>
    <w:rsid w:val="794708D9"/>
    <w:rsid w:val="794B21A1"/>
    <w:rsid w:val="795821A2"/>
    <w:rsid w:val="795F12C2"/>
    <w:rsid w:val="7964574A"/>
    <w:rsid w:val="79764F6E"/>
    <w:rsid w:val="797A505D"/>
    <w:rsid w:val="79830E6C"/>
    <w:rsid w:val="798B59A2"/>
    <w:rsid w:val="79916C4B"/>
    <w:rsid w:val="799325F8"/>
    <w:rsid w:val="79941CF2"/>
    <w:rsid w:val="79973382"/>
    <w:rsid w:val="799A39D4"/>
    <w:rsid w:val="79BA66DB"/>
    <w:rsid w:val="79BA7760"/>
    <w:rsid w:val="79C1605A"/>
    <w:rsid w:val="79D33056"/>
    <w:rsid w:val="79EC0256"/>
    <w:rsid w:val="79F60153"/>
    <w:rsid w:val="79FB6E2C"/>
    <w:rsid w:val="7A000A00"/>
    <w:rsid w:val="7A211BEB"/>
    <w:rsid w:val="7A4529A3"/>
    <w:rsid w:val="7A4C2D60"/>
    <w:rsid w:val="7A545D27"/>
    <w:rsid w:val="7A644851"/>
    <w:rsid w:val="7A6E4BF5"/>
    <w:rsid w:val="7A805A0E"/>
    <w:rsid w:val="7A851D5D"/>
    <w:rsid w:val="7A8A2267"/>
    <w:rsid w:val="7A92511C"/>
    <w:rsid w:val="7A9F6F88"/>
    <w:rsid w:val="7AB53126"/>
    <w:rsid w:val="7AB76FE8"/>
    <w:rsid w:val="7AC708E0"/>
    <w:rsid w:val="7AD268E2"/>
    <w:rsid w:val="7ADC0950"/>
    <w:rsid w:val="7ADC0B33"/>
    <w:rsid w:val="7AE14C19"/>
    <w:rsid w:val="7AEA174E"/>
    <w:rsid w:val="7AEC1B31"/>
    <w:rsid w:val="7AF76F40"/>
    <w:rsid w:val="7B274176"/>
    <w:rsid w:val="7B307D4E"/>
    <w:rsid w:val="7B356407"/>
    <w:rsid w:val="7B401C79"/>
    <w:rsid w:val="7B440ED6"/>
    <w:rsid w:val="7B4611D7"/>
    <w:rsid w:val="7B4678D7"/>
    <w:rsid w:val="7B4B2A93"/>
    <w:rsid w:val="7B527515"/>
    <w:rsid w:val="7B5922B3"/>
    <w:rsid w:val="7B6569FF"/>
    <w:rsid w:val="7B890A24"/>
    <w:rsid w:val="7B9642CC"/>
    <w:rsid w:val="7BAA485C"/>
    <w:rsid w:val="7BAD1591"/>
    <w:rsid w:val="7BAF117E"/>
    <w:rsid w:val="7BD3716B"/>
    <w:rsid w:val="7BD77797"/>
    <w:rsid w:val="7BDC1C00"/>
    <w:rsid w:val="7BEC2711"/>
    <w:rsid w:val="7BF55850"/>
    <w:rsid w:val="7BFE117C"/>
    <w:rsid w:val="7C1054B7"/>
    <w:rsid w:val="7C143FB0"/>
    <w:rsid w:val="7C21195F"/>
    <w:rsid w:val="7C26369C"/>
    <w:rsid w:val="7C2A465C"/>
    <w:rsid w:val="7C305879"/>
    <w:rsid w:val="7C34521A"/>
    <w:rsid w:val="7C4A2BD1"/>
    <w:rsid w:val="7C576C70"/>
    <w:rsid w:val="7C5B0211"/>
    <w:rsid w:val="7C686C61"/>
    <w:rsid w:val="7C6D5985"/>
    <w:rsid w:val="7C701814"/>
    <w:rsid w:val="7C77043F"/>
    <w:rsid w:val="7C77330E"/>
    <w:rsid w:val="7C8A7CDC"/>
    <w:rsid w:val="7C9E5A24"/>
    <w:rsid w:val="7CAD4798"/>
    <w:rsid w:val="7CB4006B"/>
    <w:rsid w:val="7CB93ABB"/>
    <w:rsid w:val="7CBE24B4"/>
    <w:rsid w:val="7CCD2199"/>
    <w:rsid w:val="7CCF1172"/>
    <w:rsid w:val="7CCF3A53"/>
    <w:rsid w:val="7CDA7EDA"/>
    <w:rsid w:val="7CE656F0"/>
    <w:rsid w:val="7CE87FE8"/>
    <w:rsid w:val="7CED34FF"/>
    <w:rsid w:val="7CEE5458"/>
    <w:rsid w:val="7CF26588"/>
    <w:rsid w:val="7CF305CD"/>
    <w:rsid w:val="7CF565D7"/>
    <w:rsid w:val="7CFA3A46"/>
    <w:rsid w:val="7D0F5720"/>
    <w:rsid w:val="7D1F61D2"/>
    <w:rsid w:val="7D260EB6"/>
    <w:rsid w:val="7D2E198F"/>
    <w:rsid w:val="7D366D67"/>
    <w:rsid w:val="7D3B3737"/>
    <w:rsid w:val="7D3D73AF"/>
    <w:rsid w:val="7D420743"/>
    <w:rsid w:val="7D5B27C9"/>
    <w:rsid w:val="7D62117D"/>
    <w:rsid w:val="7D666D1A"/>
    <w:rsid w:val="7D816CE5"/>
    <w:rsid w:val="7D834A16"/>
    <w:rsid w:val="7D9D438F"/>
    <w:rsid w:val="7DA514D2"/>
    <w:rsid w:val="7DCD4EB5"/>
    <w:rsid w:val="7DF83D1A"/>
    <w:rsid w:val="7DFF415C"/>
    <w:rsid w:val="7E090313"/>
    <w:rsid w:val="7E2E4C94"/>
    <w:rsid w:val="7E31409A"/>
    <w:rsid w:val="7E3E0FEC"/>
    <w:rsid w:val="7E3E1EF2"/>
    <w:rsid w:val="7E436D4C"/>
    <w:rsid w:val="7E555BA2"/>
    <w:rsid w:val="7E5C1ABA"/>
    <w:rsid w:val="7E62165E"/>
    <w:rsid w:val="7E622778"/>
    <w:rsid w:val="7E756346"/>
    <w:rsid w:val="7E85174A"/>
    <w:rsid w:val="7E851FBF"/>
    <w:rsid w:val="7E8B4DC2"/>
    <w:rsid w:val="7EAA7C26"/>
    <w:rsid w:val="7EAF1FAA"/>
    <w:rsid w:val="7EB4653A"/>
    <w:rsid w:val="7EBB576E"/>
    <w:rsid w:val="7EC06781"/>
    <w:rsid w:val="7ECA4601"/>
    <w:rsid w:val="7ECF01D5"/>
    <w:rsid w:val="7ED10C1A"/>
    <w:rsid w:val="7EDC22AD"/>
    <w:rsid w:val="7EE34086"/>
    <w:rsid w:val="7EE55F89"/>
    <w:rsid w:val="7EEB5719"/>
    <w:rsid w:val="7EF215E8"/>
    <w:rsid w:val="7EF525E1"/>
    <w:rsid w:val="7EF74FC9"/>
    <w:rsid w:val="7EFB30E3"/>
    <w:rsid w:val="7F023AF5"/>
    <w:rsid w:val="7F0C2035"/>
    <w:rsid w:val="7F0F7992"/>
    <w:rsid w:val="7F1B0865"/>
    <w:rsid w:val="7F271AA3"/>
    <w:rsid w:val="7F332190"/>
    <w:rsid w:val="7F3843DF"/>
    <w:rsid w:val="7F3D68DF"/>
    <w:rsid w:val="7F453289"/>
    <w:rsid w:val="7F4705C3"/>
    <w:rsid w:val="7F484B27"/>
    <w:rsid w:val="7F5131F8"/>
    <w:rsid w:val="7F542B37"/>
    <w:rsid w:val="7F6B2248"/>
    <w:rsid w:val="7F7D7A8E"/>
    <w:rsid w:val="7F872588"/>
    <w:rsid w:val="7F8725BA"/>
    <w:rsid w:val="7F8C6A8F"/>
    <w:rsid w:val="7F980F2D"/>
    <w:rsid w:val="7F9C175D"/>
    <w:rsid w:val="7FA85877"/>
    <w:rsid w:val="7FAE6452"/>
    <w:rsid w:val="7FB431A7"/>
    <w:rsid w:val="7FC524C4"/>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7</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2025-02-07T08:00:55Z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